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535" w:rsidRDefault="009A2A8C">
      <w:pPr>
        <w:pStyle w:val="BodyText"/>
        <w:spacing w:before="180" w:line="240" w:lineRule="exact"/>
        <w:ind w:left="3432" w:right="3123" w:firstLine="720"/>
      </w:pPr>
      <w:bookmarkStart w:id="0" w:name="_GoBack"/>
      <w:bookmarkEnd w:id="0"/>
      <w:r>
        <w:t>ADDENDUM TO RECORD OF PROCEEDINGS</w:t>
      </w:r>
    </w:p>
    <w:p w:rsidR="00545535" w:rsidRDefault="009A2A8C">
      <w:pPr>
        <w:pStyle w:val="BodyText"/>
        <w:spacing w:line="264" w:lineRule="exact"/>
        <w:ind w:left="1416"/>
      </w:pPr>
      <w:r>
        <w:t>AIR FORCE BOARD FOR CORRECTION OF MILITARY RECORDS</w:t>
      </w:r>
    </w:p>
    <w:p w:rsidR="00545535" w:rsidRDefault="009A2A8C">
      <w:pPr>
        <w:pStyle w:val="BodyText"/>
        <w:tabs>
          <w:tab w:val="left" w:pos="4871"/>
          <w:tab w:val="left" w:pos="6311"/>
          <w:tab w:val="left" w:pos="7175"/>
        </w:tabs>
        <w:spacing w:before="216" w:line="240" w:lineRule="exact"/>
        <w:ind w:left="4872" w:right="551" w:hanging="4752"/>
      </w:pPr>
      <w:r>
        <w:t>IN THE</w:t>
      </w:r>
      <w:r>
        <w:rPr>
          <w:spacing w:val="-3"/>
        </w:rPr>
        <w:t xml:space="preserve"> </w:t>
      </w:r>
      <w:r>
        <w:t>MATTER</w:t>
      </w:r>
      <w:r>
        <w:rPr>
          <w:spacing w:val="-2"/>
        </w:rPr>
        <w:t xml:space="preserve"> </w:t>
      </w:r>
      <w:r>
        <w:t>OF:</w:t>
      </w:r>
      <w:r>
        <w:tab/>
        <w:t>DOCKET</w:t>
      </w:r>
      <w:r>
        <w:rPr>
          <w:spacing w:val="-2"/>
        </w:rPr>
        <w:t xml:space="preserve"> </w:t>
      </w:r>
      <w:r>
        <w:t>NUMBER:</w:t>
      </w:r>
      <w:r>
        <w:tab/>
        <w:t>BC-2011-00179</w:t>
      </w:r>
      <w:r>
        <w:rPr>
          <w:w w:val="99"/>
        </w:rPr>
        <w:t xml:space="preserve"> </w:t>
      </w:r>
      <w:r>
        <w:t>COUNSEL:</w:t>
      </w:r>
      <w:r>
        <w:tab/>
        <w:t>NONE</w:t>
      </w:r>
    </w:p>
    <w:p w:rsidR="00545535" w:rsidRDefault="009A2A8C">
      <w:pPr>
        <w:pStyle w:val="BodyText"/>
        <w:tabs>
          <w:tab w:val="left" w:pos="7463"/>
        </w:tabs>
        <w:spacing w:line="264" w:lineRule="exact"/>
        <w:ind w:left="4872"/>
      </w:pPr>
      <w:r>
        <w:t>HEARING</w:t>
      </w:r>
      <w:r>
        <w:rPr>
          <w:spacing w:val="-2"/>
        </w:rPr>
        <w:t xml:space="preserve"> </w:t>
      </w:r>
      <w:r>
        <w:t>DESIRED:</w:t>
      </w:r>
      <w:r>
        <w:tab/>
        <w:t>YES</w:t>
      </w:r>
    </w:p>
    <w:p w:rsidR="00545535" w:rsidRDefault="00545535">
      <w:pPr>
        <w:pStyle w:val="BodyText"/>
        <w:rPr>
          <w:sz w:val="20"/>
        </w:rPr>
      </w:pPr>
    </w:p>
    <w:p w:rsidR="00545535" w:rsidRDefault="00980406">
      <w:pPr>
        <w:pStyle w:val="BodyText"/>
        <w:spacing w:before="5"/>
        <w:rPr>
          <w:sz w:val="17"/>
        </w:rPr>
      </w:pPr>
      <w:r>
        <w:pict>
          <v:line id="_x0000_s1030" style="position:absolute;z-index:251655680;mso-wrap-distance-left:0;mso-wrap-distance-right:0;mso-position-horizontal-relative:page" from="1in,12.1pt" to="540pt,12.1pt" strokeweight=".17356mm">
            <w10:wrap type="topAndBottom" anchorx="page"/>
          </v:line>
        </w:pict>
      </w:r>
    </w:p>
    <w:p w:rsidR="00545535" w:rsidRDefault="00545535">
      <w:pPr>
        <w:pStyle w:val="BodyText"/>
        <w:spacing w:before="6"/>
        <w:rPr>
          <w:sz w:val="7"/>
        </w:rPr>
      </w:pPr>
    </w:p>
    <w:p w:rsidR="00545535" w:rsidRDefault="009A2A8C">
      <w:pPr>
        <w:pStyle w:val="BodyText"/>
        <w:spacing w:before="100"/>
        <w:ind w:left="120"/>
      </w:pPr>
      <w:r>
        <w:rPr>
          <w:u w:val="single"/>
        </w:rPr>
        <w:t>APPLICANT REQUESTS THAT</w:t>
      </w:r>
      <w:r>
        <w:t>:</w:t>
      </w:r>
    </w:p>
    <w:p w:rsidR="00545535" w:rsidRDefault="009A2A8C">
      <w:pPr>
        <w:pStyle w:val="BodyText"/>
        <w:spacing w:before="208" w:line="256" w:lineRule="exact"/>
        <w:ind w:left="120"/>
      </w:pPr>
      <w:r>
        <w:t>His</w:t>
      </w:r>
      <w:r>
        <w:rPr>
          <w:spacing w:val="63"/>
        </w:rPr>
        <w:t xml:space="preserve"> </w:t>
      </w:r>
      <w:r>
        <w:t>Enlisted</w:t>
      </w:r>
      <w:r>
        <w:rPr>
          <w:spacing w:val="63"/>
        </w:rPr>
        <w:t xml:space="preserve"> </w:t>
      </w:r>
      <w:r>
        <w:t>Performance</w:t>
      </w:r>
      <w:r>
        <w:rPr>
          <w:spacing w:val="63"/>
        </w:rPr>
        <w:t xml:space="preserve"> </w:t>
      </w:r>
      <w:r>
        <w:t>Report</w:t>
      </w:r>
      <w:r>
        <w:rPr>
          <w:spacing w:val="63"/>
        </w:rPr>
        <w:t xml:space="preserve"> </w:t>
      </w:r>
      <w:r>
        <w:t>(EPR)</w:t>
      </w:r>
      <w:r>
        <w:rPr>
          <w:spacing w:val="63"/>
        </w:rPr>
        <w:t xml:space="preserve"> </w:t>
      </w:r>
      <w:r>
        <w:t>with</w:t>
      </w:r>
      <w:r>
        <w:rPr>
          <w:spacing w:val="63"/>
        </w:rPr>
        <w:t xml:space="preserve"> </w:t>
      </w:r>
      <w:r>
        <w:t>a</w:t>
      </w:r>
      <w:r>
        <w:rPr>
          <w:spacing w:val="61"/>
        </w:rPr>
        <w:t xml:space="preserve"> </w:t>
      </w:r>
      <w:r>
        <w:t>closeout</w:t>
      </w:r>
      <w:r>
        <w:rPr>
          <w:spacing w:val="61"/>
        </w:rPr>
        <w:t xml:space="preserve"> </w:t>
      </w:r>
      <w:r>
        <w:t>date</w:t>
      </w:r>
      <w:r>
        <w:rPr>
          <w:spacing w:val="61"/>
        </w:rPr>
        <w:t xml:space="preserve"> </w:t>
      </w:r>
      <w:r>
        <w:t>of</w:t>
      </w:r>
    </w:p>
    <w:p w:rsidR="00545535" w:rsidRDefault="009A2A8C">
      <w:pPr>
        <w:pStyle w:val="BodyText"/>
        <w:spacing w:line="256" w:lineRule="exact"/>
        <w:ind w:left="120"/>
      </w:pPr>
      <w:r>
        <w:t>24 Apr 09 be voided and removed from his records.</w:t>
      </w:r>
    </w:p>
    <w:p w:rsidR="00545535" w:rsidRDefault="00545535">
      <w:pPr>
        <w:pStyle w:val="BodyText"/>
        <w:rPr>
          <w:sz w:val="20"/>
        </w:rPr>
      </w:pPr>
    </w:p>
    <w:p w:rsidR="00545535" w:rsidRDefault="00980406">
      <w:pPr>
        <w:pStyle w:val="BodyText"/>
        <w:spacing w:before="5"/>
        <w:rPr>
          <w:sz w:val="17"/>
        </w:rPr>
      </w:pPr>
      <w:r>
        <w:pict>
          <v:line id="_x0000_s1029" style="position:absolute;z-index:251656704;mso-wrap-distance-left:0;mso-wrap-distance-right:0;mso-position-horizontal-relative:page" from="1in,12.1pt" to="540pt,12.1pt" strokeweight=".17356mm">
            <w10:wrap type="topAndBottom" anchorx="page"/>
          </v:line>
        </w:pict>
      </w:r>
    </w:p>
    <w:p w:rsidR="00545535" w:rsidRDefault="00545535">
      <w:pPr>
        <w:pStyle w:val="BodyText"/>
        <w:spacing w:before="6"/>
        <w:rPr>
          <w:sz w:val="7"/>
        </w:rPr>
      </w:pPr>
    </w:p>
    <w:p w:rsidR="00545535" w:rsidRDefault="009A2A8C">
      <w:pPr>
        <w:pStyle w:val="BodyText"/>
        <w:spacing w:before="100"/>
        <w:ind w:left="120"/>
        <w:jc w:val="both"/>
      </w:pPr>
      <w:r>
        <w:rPr>
          <w:u w:val="single"/>
        </w:rPr>
        <w:t>RESUME OF CASE</w:t>
      </w:r>
      <w:r>
        <w:t>:</w:t>
      </w:r>
    </w:p>
    <w:p w:rsidR="00545535" w:rsidRDefault="009A2A8C">
      <w:pPr>
        <w:pStyle w:val="BodyText"/>
        <w:spacing w:before="216" w:line="240" w:lineRule="exact"/>
        <w:ind w:left="120" w:right="119"/>
        <w:jc w:val="both"/>
      </w:pPr>
      <w:r>
        <w:t>On 29 Sep 11, the Board considered and denied the applicant’s request that his EPR be voided and removed from his records. A complete copy of the Record of Proceedings is attached at</w:t>
      </w:r>
      <w:r>
        <w:rPr>
          <w:spacing w:val="-12"/>
        </w:rPr>
        <w:t xml:space="preserve"> </w:t>
      </w:r>
      <w:r>
        <w:t>Exhibit D (with Exhibits A through</w:t>
      </w:r>
      <w:r>
        <w:rPr>
          <w:spacing w:val="-6"/>
        </w:rPr>
        <w:t xml:space="preserve"> </w:t>
      </w:r>
      <w:r>
        <w:t>C).</w:t>
      </w:r>
    </w:p>
    <w:p w:rsidR="00545535" w:rsidRDefault="00545535">
      <w:pPr>
        <w:pStyle w:val="BodyText"/>
        <w:spacing w:before="2"/>
        <w:rPr>
          <w:sz w:val="21"/>
        </w:rPr>
      </w:pPr>
    </w:p>
    <w:p w:rsidR="00545535" w:rsidRDefault="009A2A8C">
      <w:pPr>
        <w:pStyle w:val="BodyText"/>
        <w:spacing w:line="240" w:lineRule="exact"/>
        <w:ind w:left="120" w:right="119"/>
        <w:jc w:val="both"/>
      </w:pPr>
      <w:r>
        <w:t>By letters, dated 30 Mar 12 and 18 Apr 12, the applicant</w:t>
      </w:r>
      <w:r>
        <w:rPr>
          <w:spacing w:val="-14"/>
        </w:rPr>
        <w:t xml:space="preserve"> </w:t>
      </w:r>
      <w:r>
        <w:t>requests reconsideration of his request, contending that the information is newly discovered relevant evidence and provides the response he received from the Freedom of Information Act (FOIA)</w:t>
      </w:r>
      <w:r>
        <w:rPr>
          <w:spacing w:val="-11"/>
        </w:rPr>
        <w:t xml:space="preserve"> </w:t>
      </w:r>
      <w:r>
        <w:t>office.</w:t>
      </w:r>
    </w:p>
    <w:p w:rsidR="00545535" w:rsidRDefault="00545535">
      <w:pPr>
        <w:pStyle w:val="BodyText"/>
        <w:spacing w:before="1"/>
        <w:rPr>
          <w:sz w:val="21"/>
        </w:rPr>
      </w:pPr>
    </w:p>
    <w:p w:rsidR="00545535" w:rsidRDefault="009A2A8C">
      <w:pPr>
        <w:pStyle w:val="BodyText"/>
        <w:spacing w:before="1" w:line="240" w:lineRule="exact"/>
        <w:ind w:left="120" w:right="119"/>
        <w:jc w:val="both"/>
      </w:pPr>
      <w:r>
        <w:t>In support of the appeal, the applicant submits excerpts from</w:t>
      </w:r>
      <w:r>
        <w:rPr>
          <w:spacing w:val="-12"/>
        </w:rPr>
        <w:t xml:space="preserve"> </w:t>
      </w:r>
      <w:r>
        <w:t>his master personnel records and a letter from the FOIA Director of Communications office,</w:t>
      </w:r>
      <w:r>
        <w:rPr>
          <w:spacing w:val="-3"/>
        </w:rPr>
        <w:t xml:space="preserve"> </w:t>
      </w:r>
      <w:r>
        <w:t>w/</w:t>
      </w:r>
      <w:proofErr w:type="spellStart"/>
      <w:r>
        <w:t>atchs</w:t>
      </w:r>
      <w:proofErr w:type="spellEnd"/>
      <w:r>
        <w:t>.</w:t>
      </w:r>
    </w:p>
    <w:p w:rsidR="00545535" w:rsidRDefault="00545535">
      <w:pPr>
        <w:pStyle w:val="BodyText"/>
        <w:spacing w:before="2"/>
        <w:rPr>
          <w:sz w:val="21"/>
        </w:rPr>
      </w:pPr>
    </w:p>
    <w:p w:rsidR="00545535" w:rsidRDefault="009A2A8C">
      <w:pPr>
        <w:pStyle w:val="BodyText"/>
        <w:spacing w:line="240" w:lineRule="exact"/>
        <w:ind w:left="120" w:right="119"/>
        <w:jc w:val="both"/>
      </w:pPr>
      <w:r>
        <w:t>The applicant’s complete submission, with attachments, is at Exhibit E.</w:t>
      </w:r>
    </w:p>
    <w:p w:rsidR="00545535" w:rsidRDefault="00545535">
      <w:pPr>
        <w:pStyle w:val="BodyText"/>
        <w:rPr>
          <w:sz w:val="20"/>
        </w:rPr>
      </w:pPr>
    </w:p>
    <w:p w:rsidR="00545535" w:rsidRDefault="00980406">
      <w:pPr>
        <w:pStyle w:val="BodyText"/>
        <w:spacing w:before="6"/>
        <w:rPr>
          <w:sz w:val="19"/>
        </w:rPr>
      </w:pPr>
      <w:r>
        <w:pict>
          <v:line id="_x0000_s1028" style="position:absolute;z-index:251657728;mso-wrap-distance-left:0;mso-wrap-distance-right:0;mso-position-horizontal-relative:page" from="1in,13.3pt" to="540pt,13.3pt" strokeweight=".17356mm">
            <w10:wrap type="topAndBottom" anchorx="page"/>
          </v:line>
        </w:pict>
      </w:r>
    </w:p>
    <w:p w:rsidR="00545535" w:rsidRDefault="00545535">
      <w:pPr>
        <w:pStyle w:val="BodyText"/>
        <w:spacing w:before="6"/>
        <w:rPr>
          <w:sz w:val="7"/>
        </w:rPr>
      </w:pPr>
    </w:p>
    <w:p w:rsidR="00545535" w:rsidRDefault="009A2A8C">
      <w:pPr>
        <w:pStyle w:val="BodyText"/>
        <w:spacing w:before="100"/>
        <w:ind w:left="120"/>
        <w:jc w:val="both"/>
      </w:pPr>
      <w:r>
        <w:rPr>
          <w:u w:val="single"/>
        </w:rPr>
        <w:t>THE BOARD CONCLUDES THAT</w:t>
      </w:r>
      <w:r>
        <w:t>:</w:t>
      </w:r>
    </w:p>
    <w:p w:rsidR="00545535" w:rsidRDefault="009A2A8C">
      <w:pPr>
        <w:pStyle w:val="ListParagraph"/>
        <w:numPr>
          <w:ilvl w:val="0"/>
          <w:numId w:val="1"/>
        </w:numPr>
        <w:tabs>
          <w:tab w:val="left" w:pos="696"/>
        </w:tabs>
        <w:spacing w:before="216"/>
        <w:ind w:firstLine="0"/>
        <w:jc w:val="both"/>
        <w:rPr>
          <w:sz w:val="24"/>
        </w:rPr>
      </w:pPr>
      <w:r>
        <w:rPr>
          <w:sz w:val="24"/>
        </w:rPr>
        <w:t>In earlier findings, the Board determined that there was insufficient evidence to warrant any corrective action. After thoroughly reviewing the additional documentation submitted in support of his appeal and the evidence of record, we do not find it sufficient to change the Board’s earlier determination in</w:t>
      </w:r>
      <w:r>
        <w:rPr>
          <w:spacing w:val="-11"/>
          <w:sz w:val="24"/>
        </w:rPr>
        <w:t xml:space="preserve"> </w:t>
      </w:r>
      <w:r>
        <w:rPr>
          <w:sz w:val="24"/>
        </w:rPr>
        <w:t>this case. Consequently, we are still not persuaded the applicant should</w:t>
      </w:r>
      <w:r>
        <w:rPr>
          <w:spacing w:val="66"/>
          <w:sz w:val="24"/>
        </w:rPr>
        <w:t xml:space="preserve"> </w:t>
      </w:r>
      <w:r>
        <w:rPr>
          <w:sz w:val="24"/>
        </w:rPr>
        <w:t>be</w:t>
      </w:r>
      <w:r>
        <w:rPr>
          <w:spacing w:val="66"/>
          <w:sz w:val="24"/>
        </w:rPr>
        <w:t xml:space="preserve"> </w:t>
      </w:r>
      <w:r>
        <w:rPr>
          <w:sz w:val="24"/>
        </w:rPr>
        <w:t>granted</w:t>
      </w:r>
      <w:r>
        <w:rPr>
          <w:spacing w:val="66"/>
          <w:sz w:val="24"/>
        </w:rPr>
        <w:t xml:space="preserve"> </w:t>
      </w:r>
      <w:r>
        <w:rPr>
          <w:sz w:val="24"/>
        </w:rPr>
        <w:t>removal</w:t>
      </w:r>
      <w:r>
        <w:rPr>
          <w:spacing w:val="63"/>
          <w:sz w:val="24"/>
        </w:rPr>
        <w:t xml:space="preserve"> </w:t>
      </w:r>
      <w:r>
        <w:rPr>
          <w:sz w:val="24"/>
        </w:rPr>
        <w:t>of</w:t>
      </w:r>
      <w:r>
        <w:rPr>
          <w:spacing w:val="63"/>
          <w:sz w:val="24"/>
        </w:rPr>
        <w:t xml:space="preserve"> </w:t>
      </w:r>
      <w:r>
        <w:rPr>
          <w:sz w:val="24"/>
        </w:rPr>
        <w:t>his</w:t>
      </w:r>
      <w:r>
        <w:rPr>
          <w:spacing w:val="63"/>
          <w:sz w:val="24"/>
        </w:rPr>
        <w:t xml:space="preserve"> </w:t>
      </w:r>
      <w:r>
        <w:rPr>
          <w:sz w:val="24"/>
        </w:rPr>
        <w:t>EPR</w:t>
      </w:r>
      <w:r>
        <w:rPr>
          <w:spacing w:val="63"/>
          <w:sz w:val="24"/>
        </w:rPr>
        <w:t xml:space="preserve"> </w:t>
      </w:r>
      <w:r>
        <w:rPr>
          <w:sz w:val="24"/>
        </w:rPr>
        <w:t>with</w:t>
      </w:r>
      <w:r>
        <w:rPr>
          <w:spacing w:val="63"/>
          <w:sz w:val="24"/>
        </w:rPr>
        <w:t xml:space="preserve"> </w:t>
      </w:r>
      <w:r>
        <w:rPr>
          <w:sz w:val="24"/>
        </w:rPr>
        <w:t>a</w:t>
      </w:r>
      <w:r>
        <w:rPr>
          <w:spacing w:val="63"/>
          <w:sz w:val="24"/>
        </w:rPr>
        <w:t xml:space="preserve"> </w:t>
      </w:r>
      <w:r>
        <w:rPr>
          <w:sz w:val="24"/>
        </w:rPr>
        <w:t>closeout</w:t>
      </w:r>
      <w:r>
        <w:rPr>
          <w:spacing w:val="63"/>
          <w:sz w:val="24"/>
        </w:rPr>
        <w:t xml:space="preserve"> </w:t>
      </w:r>
      <w:r>
        <w:rPr>
          <w:sz w:val="24"/>
        </w:rPr>
        <w:t>date</w:t>
      </w:r>
      <w:r>
        <w:rPr>
          <w:spacing w:val="63"/>
          <w:sz w:val="24"/>
        </w:rPr>
        <w:t xml:space="preserve"> </w:t>
      </w:r>
      <w:r>
        <w:rPr>
          <w:sz w:val="24"/>
        </w:rPr>
        <w:t>of</w:t>
      </w:r>
    </w:p>
    <w:p w:rsidR="00545535" w:rsidRDefault="009A2A8C">
      <w:pPr>
        <w:pStyle w:val="BodyText"/>
        <w:spacing w:line="240" w:lineRule="exact"/>
        <w:ind w:left="119" w:right="119"/>
        <w:jc w:val="both"/>
      </w:pPr>
      <w:r>
        <w:t xml:space="preserve">24 Apr 09. Therefore, in view of the above, and in the </w:t>
      </w:r>
      <w:proofErr w:type="gramStart"/>
      <w:r>
        <w:t>absence  of</w:t>
      </w:r>
      <w:proofErr w:type="gramEnd"/>
      <w:r>
        <w:t xml:space="preserve"> evidence to the contrary, we find no basis upon which to recommend favorable consideration of the applicant’s</w:t>
      </w:r>
      <w:r>
        <w:rPr>
          <w:spacing w:val="-8"/>
        </w:rPr>
        <w:t xml:space="preserve"> </w:t>
      </w:r>
      <w:r>
        <w:t>request.</w:t>
      </w:r>
    </w:p>
    <w:p w:rsidR="00545535" w:rsidRDefault="00545535">
      <w:pPr>
        <w:spacing w:line="240" w:lineRule="exact"/>
        <w:jc w:val="both"/>
        <w:sectPr w:rsidR="00545535">
          <w:headerReference w:type="even" r:id="rId7"/>
          <w:headerReference w:type="default" r:id="rId8"/>
          <w:footerReference w:type="even" r:id="rId9"/>
          <w:footerReference w:type="default" r:id="rId10"/>
          <w:headerReference w:type="first" r:id="rId11"/>
          <w:footerReference w:type="first" r:id="rId12"/>
          <w:type w:val="continuous"/>
          <w:pgSz w:w="12240" w:h="15840"/>
          <w:pgMar w:top="1500" w:right="1320" w:bottom="280" w:left="1320" w:header="720" w:footer="720" w:gutter="0"/>
          <w:cols w:space="720"/>
        </w:sectPr>
      </w:pPr>
    </w:p>
    <w:p w:rsidR="00545535" w:rsidRDefault="00545535">
      <w:pPr>
        <w:pStyle w:val="BodyText"/>
        <w:rPr>
          <w:sz w:val="20"/>
        </w:rPr>
      </w:pPr>
    </w:p>
    <w:p w:rsidR="00545535" w:rsidRDefault="00545535">
      <w:pPr>
        <w:pStyle w:val="BodyText"/>
        <w:rPr>
          <w:sz w:val="20"/>
        </w:rPr>
      </w:pPr>
    </w:p>
    <w:p w:rsidR="00545535" w:rsidRDefault="00545535">
      <w:pPr>
        <w:pStyle w:val="BodyText"/>
        <w:rPr>
          <w:sz w:val="20"/>
        </w:rPr>
      </w:pPr>
    </w:p>
    <w:p w:rsidR="00545535" w:rsidRDefault="00545535">
      <w:pPr>
        <w:pStyle w:val="BodyText"/>
        <w:rPr>
          <w:sz w:val="20"/>
        </w:rPr>
      </w:pPr>
    </w:p>
    <w:p w:rsidR="00545535" w:rsidRDefault="00545535">
      <w:pPr>
        <w:pStyle w:val="BodyText"/>
        <w:spacing w:before="7"/>
      </w:pPr>
    </w:p>
    <w:p w:rsidR="00545535" w:rsidRDefault="009A2A8C">
      <w:pPr>
        <w:pStyle w:val="ListParagraph"/>
        <w:numPr>
          <w:ilvl w:val="0"/>
          <w:numId w:val="1"/>
        </w:numPr>
        <w:tabs>
          <w:tab w:val="left" w:pos="725"/>
        </w:tabs>
        <w:ind w:firstLine="0"/>
        <w:jc w:val="both"/>
        <w:rPr>
          <w:sz w:val="24"/>
        </w:rPr>
      </w:pPr>
      <w:r>
        <w:rPr>
          <w:sz w:val="24"/>
        </w:rPr>
        <w:t>The applicant’s case is adequately documented and it has not been shown that a personal appearance with or without counsel will materially add to our understanding of the issue involved. Therefore, the request for a hearing is not favorably</w:t>
      </w:r>
      <w:r>
        <w:rPr>
          <w:spacing w:val="-11"/>
          <w:sz w:val="24"/>
        </w:rPr>
        <w:t xml:space="preserve"> </w:t>
      </w:r>
      <w:r>
        <w:rPr>
          <w:sz w:val="24"/>
        </w:rPr>
        <w:t>considered.</w:t>
      </w:r>
    </w:p>
    <w:p w:rsidR="00545535" w:rsidRDefault="00545535">
      <w:pPr>
        <w:pStyle w:val="BodyText"/>
        <w:rPr>
          <w:sz w:val="20"/>
        </w:rPr>
      </w:pPr>
    </w:p>
    <w:p w:rsidR="00545535" w:rsidRDefault="00980406">
      <w:pPr>
        <w:pStyle w:val="BodyText"/>
        <w:spacing w:before="6"/>
        <w:rPr>
          <w:sz w:val="19"/>
        </w:rPr>
      </w:pPr>
      <w:r>
        <w:pict>
          <v:line id="_x0000_s1027" style="position:absolute;z-index:251658752;mso-wrap-distance-left:0;mso-wrap-distance-right:0;mso-position-horizontal-relative:page" from="1in,13.3pt" to="540pt,13.3pt" strokeweight=".17356mm">
            <w10:wrap type="topAndBottom" anchorx="page"/>
          </v:line>
        </w:pict>
      </w:r>
    </w:p>
    <w:p w:rsidR="00545535" w:rsidRDefault="00545535">
      <w:pPr>
        <w:pStyle w:val="BodyText"/>
        <w:spacing w:before="6"/>
        <w:rPr>
          <w:sz w:val="7"/>
        </w:rPr>
      </w:pPr>
    </w:p>
    <w:p w:rsidR="00545535" w:rsidRDefault="009A2A8C">
      <w:pPr>
        <w:pStyle w:val="BodyText"/>
        <w:spacing w:before="100"/>
        <w:ind w:left="120"/>
        <w:jc w:val="both"/>
      </w:pPr>
      <w:r>
        <w:rPr>
          <w:u w:val="single"/>
        </w:rPr>
        <w:t>THE BOARD DETERMINES THAT</w:t>
      </w:r>
      <w:r>
        <w:t>:</w:t>
      </w:r>
    </w:p>
    <w:p w:rsidR="00545535" w:rsidRDefault="009A2A8C">
      <w:pPr>
        <w:pStyle w:val="BodyText"/>
        <w:spacing w:before="216" w:line="240" w:lineRule="exact"/>
        <w:ind w:left="120" w:right="119"/>
        <w:jc w:val="both"/>
      </w:pPr>
      <w:r>
        <w:t>The applicant be notified that the evidence presented did not demonstrate the existence of material error or injustice; that the application was denied without a personal appearance; and that the application will only be reconsidered upon the submission of newly discovered relevant evidence not considered with this application.</w:t>
      </w:r>
    </w:p>
    <w:p w:rsidR="00545535" w:rsidRDefault="00545535">
      <w:pPr>
        <w:pStyle w:val="BodyText"/>
        <w:rPr>
          <w:sz w:val="20"/>
        </w:rPr>
      </w:pPr>
    </w:p>
    <w:p w:rsidR="00545535" w:rsidRDefault="00980406">
      <w:pPr>
        <w:pStyle w:val="BodyText"/>
        <w:spacing w:before="7"/>
        <w:rPr>
          <w:sz w:val="19"/>
        </w:rPr>
      </w:pPr>
      <w:r>
        <w:pict>
          <v:line id="_x0000_s1026" style="position:absolute;z-index:251659776;mso-wrap-distance-left:0;mso-wrap-distance-right:0;mso-position-horizontal-relative:page" from="1in,13.3pt" to="540pt,13.3pt" strokeweight=".17356mm">
            <w10:wrap type="topAndBottom" anchorx="page"/>
          </v:line>
        </w:pict>
      </w:r>
    </w:p>
    <w:p w:rsidR="00545535" w:rsidRDefault="00545535">
      <w:pPr>
        <w:pStyle w:val="BodyText"/>
        <w:spacing w:before="6"/>
        <w:rPr>
          <w:sz w:val="7"/>
        </w:rPr>
      </w:pPr>
    </w:p>
    <w:p w:rsidR="00545535" w:rsidRDefault="009A2A8C">
      <w:pPr>
        <w:pStyle w:val="BodyText"/>
        <w:spacing w:before="108" w:line="240" w:lineRule="exact"/>
        <w:ind w:left="120" w:right="119"/>
        <w:jc w:val="both"/>
      </w:pPr>
      <w:r>
        <w:t>The following members of the Board considered the applicant’s request for reconsideration of AFBCMR Docket Number</w:t>
      </w:r>
      <w:r>
        <w:rPr>
          <w:spacing w:val="-9"/>
        </w:rPr>
        <w:t xml:space="preserve"> </w:t>
      </w:r>
      <w:r>
        <w:t>BC-2011-00179 in Executive Session on 11 Apr 12 and 15 Jun 12, under the provisions of AFI</w:t>
      </w:r>
      <w:r>
        <w:rPr>
          <w:spacing w:val="-4"/>
        </w:rPr>
        <w:t xml:space="preserve"> </w:t>
      </w:r>
      <w:r>
        <w:t>36-2603:</w:t>
      </w:r>
    </w:p>
    <w:p w:rsidR="00545535" w:rsidRDefault="009A2A8C">
      <w:pPr>
        <w:pStyle w:val="BodyText"/>
        <w:spacing w:before="232" w:line="256" w:lineRule="exact"/>
        <w:ind w:left="840"/>
      </w:pPr>
      <w:r>
        <w:t>, Panel Chair</w:t>
      </w:r>
    </w:p>
    <w:p w:rsidR="00545535" w:rsidRDefault="009A2A8C">
      <w:pPr>
        <w:pStyle w:val="BodyText"/>
        <w:spacing w:line="240" w:lineRule="exact"/>
        <w:ind w:left="840"/>
      </w:pPr>
      <w:r>
        <w:t>, Member</w:t>
      </w:r>
    </w:p>
    <w:p w:rsidR="00545535" w:rsidRDefault="009A2A8C">
      <w:pPr>
        <w:pStyle w:val="BodyText"/>
        <w:spacing w:line="256" w:lineRule="exact"/>
        <w:ind w:left="840"/>
      </w:pPr>
      <w:r>
        <w:t>, Member</w:t>
      </w:r>
    </w:p>
    <w:p w:rsidR="00545535" w:rsidRDefault="009A2A8C">
      <w:pPr>
        <w:pStyle w:val="BodyText"/>
        <w:spacing w:before="207"/>
        <w:ind w:left="120"/>
        <w:jc w:val="both"/>
      </w:pPr>
      <w:r>
        <w:t>The following additional documentary evidence was considered:</w:t>
      </w:r>
    </w:p>
    <w:p w:rsidR="00545535" w:rsidRDefault="009A2A8C">
      <w:pPr>
        <w:pStyle w:val="BodyText"/>
        <w:tabs>
          <w:tab w:val="left" w:pos="2459"/>
        </w:tabs>
        <w:spacing w:before="215" w:line="240" w:lineRule="exact"/>
        <w:ind w:left="696" w:right="227"/>
      </w:pPr>
      <w:r>
        <w:t>Exhibit</w:t>
      </w:r>
      <w:r>
        <w:rPr>
          <w:spacing w:val="-2"/>
        </w:rPr>
        <w:t xml:space="preserve"> </w:t>
      </w:r>
      <w:r>
        <w:t>D.</w:t>
      </w:r>
      <w:r>
        <w:tab/>
        <w:t>Record of Proceedings, dated 17 Oct</w:t>
      </w:r>
      <w:r>
        <w:rPr>
          <w:spacing w:val="-7"/>
        </w:rPr>
        <w:t xml:space="preserve"> </w:t>
      </w:r>
      <w:r>
        <w:t>11,</w:t>
      </w:r>
      <w:r>
        <w:rPr>
          <w:spacing w:val="-2"/>
        </w:rPr>
        <w:t xml:space="preserve"> </w:t>
      </w:r>
      <w:r>
        <w:t>w/</w:t>
      </w:r>
      <w:proofErr w:type="spellStart"/>
      <w:r>
        <w:t>atchs</w:t>
      </w:r>
      <w:proofErr w:type="spellEnd"/>
      <w:r>
        <w:t>.</w:t>
      </w:r>
      <w:r>
        <w:rPr>
          <w:w w:val="99"/>
        </w:rPr>
        <w:t xml:space="preserve"> </w:t>
      </w:r>
      <w:r>
        <w:t>Exhibit</w:t>
      </w:r>
      <w:r>
        <w:rPr>
          <w:spacing w:val="-2"/>
        </w:rPr>
        <w:t xml:space="preserve"> </w:t>
      </w:r>
      <w:r>
        <w:t>E.</w:t>
      </w:r>
      <w:r>
        <w:tab/>
        <w:t>Letters, dated 30 Mar and 18 Apr 12,</w:t>
      </w:r>
      <w:r>
        <w:rPr>
          <w:spacing w:val="-9"/>
        </w:rPr>
        <w:t xml:space="preserve"> </w:t>
      </w:r>
      <w:r>
        <w:t>w/</w:t>
      </w:r>
      <w:proofErr w:type="spellStart"/>
      <w:r>
        <w:t>atchs</w:t>
      </w:r>
      <w:proofErr w:type="spellEnd"/>
      <w:r>
        <w:t>.</w:t>
      </w:r>
    </w:p>
    <w:p w:rsidR="00545535" w:rsidRDefault="00545535">
      <w:pPr>
        <w:pStyle w:val="BodyText"/>
        <w:rPr>
          <w:sz w:val="26"/>
        </w:rPr>
      </w:pPr>
    </w:p>
    <w:p w:rsidR="00545535" w:rsidRDefault="00545535">
      <w:pPr>
        <w:pStyle w:val="BodyText"/>
        <w:rPr>
          <w:sz w:val="26"/>
        </w:rPr>
      </w:pPr>
    </w:p>
    <w:p w:rsidR="00545535" w:rsidRDefault="00545535">
      <w:pPr>
        <w:pStyle w:val="BodyText"/>
        <w:rPr>
          <w:sz w:val="26"/>
        </w:rPr>
      </w:pPr>
    </w:p>
    <w:p w:rsidR="00545535" w:rsidRDefault="00545535">
      <w:pPr>
        <w:pStyle w:val="BodyText"/>
        <w:rPr>
          <w:sz w:val="26"/>
        </w:rPr>
      </w:pPr>
    </w:p>
    <w:p w:rsidR="00545535" w:rsidRDefault="00545535">
      <w:pPr>
        <w:pStyle w:val="BodyText"/>
        <w:spacing w:before="4"/>
        <w:rPr>
          <w:sz w:val="22"/>
        </w:rPr>
      </w:pPr>
    </w:p>
    <w:p w:rsidR="00545535" w:rsidRDefault="009A2A8C">
      <w:pPr>
        <w:pStyle w:val="BodyText"/>
        <w:ind w:left="5160"/>
      </w:pPr>
      <w:r>
        <w:t>Panel Chair</w:t>
      </w:r>
    </w:p>
    <w:sectPr w:rsidR="00545535">
      <w:pgSz w:w="12240" w:h="15840"/>
      <w:pgMar w:top="150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A8C" w:rsidRDefault="009A2A8C" w:rsidP="000D0051">
      <w:r>
        <w:separator/>
      </w:r>
    </w:p>
  </w:endnote>
  <w:endnote w:type="continuationSeparator" w:id="0">
    <w:p w:rsidR="009A2A8C" w:rsidRDefault="009A2A8C" w:rsidP="000D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51" w:rsidRDefault="000D0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51" w:rsidRDefault="000D00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51" w:rsidRDefault="000D0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A8C" w:rsidRDefault="009A2A8C" w:rsidP="000D0051">
      <w:r>
        <w:separator/>
      </w:r>
    </w:p>
  </w:footnote>
  <w:footnote w:type="continuationSeparator" w:id="0">
    <w:p w:rsidR="009A2A8C" w:rsidRDefault="009A2A8C" w:rsidP="000D0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51" w:rsidRDefault="000D0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51" w:rsidRDefault="000D00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51" w:rsidRDefault="000D0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F0879"/>
    <w:multiLevelType w:val="hybridMultilevel"/>
    <w:tmpl w:val="8C8C70B6"/>
    <w:lvl w:ilvl="0" w:tplc="6908F674">
      <w:start w:val="1"/>
      <w:numFmt w:val="decimal"/>
      <w:lvlText w:val="%1."/>
      <w:lvlJc w:val="left"/>
      <w:pPr>
        <w:ind w:left="120" w:hanging="576"/>
        <w:jc w:val="left"/>
      </w:pPr>
      <w:rPr>
        <w:rFonts w:ascii="Courier New" w:eastAsia="Courier New" w:hAnsi="Courier New" w:cs="Courier New" w:hint="default"/>
        <w:w w:val="99"/>
        <w:sz w:val="24"/>
        <w:szCs w:val="24"/>
      </w:rPr>
    </w:lvl>
    <w:lvl w:ilvl="1" w:tplc="855EE51C">
      <w:numFmt w:val="bullet"/>
      <w:lvlText w:val="•"/>
      <w:lvlJc w:val="left"/>
      <w:pPr>
        <w:ind w:left="1068" w:hanging="576"/>
      </w:pPr>
      <w:rPr>
        <w:rFonts w:hint="default"/>
      </w:rPr>
    </w:lvl>
    <w:lvl w:ilvl="2" w:tplc="FA1CBEF2">
      <w:numFmt w:val="bullet"/>
      <w:lvlText w:val="•"/>
      <w:lvlJc w:val="left"/>
      <w:pPr>
        <w:ind w:left="2016" w:hanging="576"/>
      </w:pPr>
      <w:rPr>
        <w:rFonts w:hint="default"/>
      </w:rPr>
    </w:lvl>
    <w:lvl w:ilvl="3" w:tplc="F64C7270">
      <w:numFmt w:val="bullet"/>
      <w:lvlText w:val="•"/>
      <w:lvlJc w:val="left"/>
      <w:pPr>
        <w:ind w:left="2964" w:hanging="576"/>
      </w:pPr>
      <w:rPr>
        <w:rFonts w:hint="default"/>
      </w:rPr>
    </w:lvl>
    <w:lvl w:ilvl="4" w:tplc="CB3428A4">
      <w:numFmt w:val="bullet"/>
      <w:lvlText w:val="•"/>
      <w:lvlJc w:val="left"/>
      <w:pPr>
        <w:ind w:left="3912" w:hanging="576"/>
      </w:pPr>
      <w:rPr>
        <w:rFonts w:hint="default"/>
      </w:rPr>
    </w:lvl>
    <w:lvl w:ilvl="5" w:tplc="70088066">
      <w:numFmt w:val="bullet"/>
      <w:lvlText w:val="•"/>
      <w:lvlJc w:val="left"/>
      <w:pPr>
        <w:ind w:left="4860" w:hanging="576"/>
      </w:pPr>
      <w:rPr>
        <w:rFonts w:hint="default"/>
      </w:rPr>
    </w:lvl>
    <w:lvl w:ilvl="6" w:tplc="4F560E7C">
      <w:numFmt w:val="bullet"/>
      <w:lvlText w:val="•"/>
      <w:lvlJc w:val="left"/>
      <w:pPr>
        <w:ind w:left="5808" w:hanging="576"/>
      </w:pPr>
      <w:rPr>
        <w:rFonts w:hint="default"/>
      </w:rPr>
    </w:lvl>
    <w:lvl w:ilvl="7" w:tplc="F32C8C74">
      <w:numFmt w:val="bullet"/>
      <w:lvlText w:val="•"/>
      <w:lvlJc w:val="left"/>
      <w:pPr>
        <w:ind w:left="6756" w:hanging="576"/>
      </w:pPr>
      <w:rPr>
        <w:rFonts w:hint="default"/>
      </w:rPr>
    </w:lvl>
    <w:lvl w:ilvl="8" w:tplc="B21A1AFE">
      <w:numFmt w:val="bullet"/>
      <w:lvlText w:val="•"/>
      <w:lvlJc w:val="left"/>
      <w:pPr>
        <w:ind w:left="7704"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545535"/>
    <w:rsid w:val="000D0051"/>
    <w:rsid w:val="00545535"/>
    <w:rsid w:val="00980406"/>
    <w:rsid w:val="009A2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08" w:line="240" w:lineRule="exact"/>
      <w:ind w:left="120" w:right="1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0051"/>
    <w:pPr>
      <w:tabs>
        <w:tab w:val="center" w:pos="4680"/>
        <w:tab w:val="right" w:pos="9360"/>
      </w:tabs>
    </w:pPr>
  </w:style>
  <w:style w:type="character" w:customStyle="1" w:styleId="HeaderChar">
    <w:name w:val="Header Char"/>
    <w:basedOn w:val="DefaultParagraphFont"/>
    <w:link w:val="Header"/>
    <w:uiPriority w:val="99"/>
    <w:rsid w:val="000D0051"/>
    <w:rPr>
      <w:rFonts w:ascii="Courier New" w:eastAsia="Courier New" w:hAnsi="Courier New" w:cs="Courier New"/>
    </w:rPr>
  </w:style>
  <w:style w:type="paragraph" w:styleId="Footer">
    <w:name w:val="footer"/>
    <w:basedOn w:val="Normal"/>
    <w:link w:val="FooterChar"/>
    <w:uiPriority w:val="99"/>
    <w:unhideWhenUsed/>
    <w:rsid w:val="000D0051"/>
    <w:pPr>
      <w:tabs>
        <w:tab w:val="center" w:pos="4680"/>
        <w:tab w:val="right" w:pos="9360"/>
      </w:tabs>
    </w:pPr>
  </w:style>
  <w:style w:type="character" w:customStyle="1" w:styleId="FooterChar">
    <w:name w:val="Footer Char"/>
    <w:basedOn w:val="DefaultParagraphFont"/>
    <w:link w:val="Footer"/>
    <w:uiPriority w:val="99"/>
    <w:rsid w:val="000D0051"/>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2020-03-24T18:19:00Z</dcterms:created>
  <dcterms:modified xsi:type="dcterms:W3CDTF">2020-03-26T16:43:00Z</dcterms:modified>
</cp:coreProperties>
</file>