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89D" w:rsidRPr="00546E95" w:rsidRDefault="0028689D" w:rsidP="00AD0F35">
      <w:pPr>
        <w:contextualSpacing/>
        <w:jc w:val="center"/>
        <w:rPr>
          <w:rFonts w:eastAsia="Times New Roman" w:cs="Courier New"/>
        </w:rPr>
      </w:pPr>
      <w:r w:rsidRPr="00546E95">
        <w:rPr>
          <w:rFonts w:eastAsia="Times New Roman" w:cs="Courier New"/>
        </w:rPr>
        <w:t>RECORD OF PROCEEDINGS</w:t>
      </w:r>
    </w:p>
    <w:p w:rsidR="0028689D" w:rsidRPr="00546E95" w:rsidRDefault="0028689D" w:rsidP="00AD0F35">
      <w:pPr>
        <w:contextualSpacing/>
        <w:jc w:val="center"/>
        <w:rPr>
          <w:rFonts w:eastAsia="Times New Roman" w:cs="Courier New"/>
        </w:rPr>
      </w:pPr>
      <w:r w:rsidRPr="00546E95">
        <w:rPr>
          <w:rFonts w:eastAsia="Times New Roman" w:cs="Courier New"/>
        </w:rPr>
        <w:t>AIR FORCE BOARD FOR CORRECTION OF MILITARY RECORDS</w:t>
      </w:r>
    </w:p>
    <w:p w:rsidR="0028689D" w:rsidRPr="00546E95" w:rsidRDefault="0028689D" w:rsidP="00AD0F35">
      <w:pPr>
        <w:contextualSpacing/>
        <w:rPr>
          <w:rFonts w:eastAsia="Times New Roman" w:cs="Courier New"/>
        </w:rPr>
      </w:pPr>
    </w:p>
    <w:p w:rsidR="0028689D" w:rsidRPr="00546E95" w:rsidRDefault="0028689D" w:rsidP="00AD0F35">
      <w:pPr>
        <w:contextualSpacing/>
        <w:rPr>
          <w:rFonts w:eastAsia="Times New Roman" w:cs="Courier New"/>
        </w:rPr>
      </w:pPr>
    </w:p>
    <w:p w:rsidR="0028689D" w:rsidRPr="00546E95" w:rsidRDefault="0028689D" w:rsidP="00AD0F35">
      <w:pPr>
        <w:contextualSpacing/>
        <w:rPr>
          <w:rFonts w:cs="Courier New"/>
          <w:bCs/>
        </w:rPr>
      </w:pPr>
      <w:r w:rsidRPr="00546E95">
        <w:rPr>
          <w:rFonts w:eastAsia="Times New Roman" w:cs="Courier New"/>
        </w:rPr>
        <w:t xml:space="preserve">IN THE MATTER OF: </w:t>
      </w:r>
      <w:r w:rsidRPr="00546E95">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DOCKET NUMBER: </w:t>
      </w:r>
      <w:r w:rsidRPr="009968CF">
        <w:rPr>
          <w:rFonts w:cs="Courier New"/>
          <w:bCs/>
          <w:noProof/>
        </w:rPr>
        <w:t>BC-2015-04922</w:t>
      </w:r>
    </w:p>
    <w:p w:rsidR="0028689D" w:rsidRPr="00546E95" w:rsidRDefault="0028689D" w:rsidP="00AD0F35">
      <w:pPr>
        <w:contextualSpacing/>
        <w:rPr>
          <w:rFonts w:cs="Courier New"/>
        </w:rPr>
      </w:pPr>
    </w:p>
    <w:p w:rsidR="0028689D" w:rsidRPr="00546E95" w:rsidRDefault="00BF7A3B" w:rsidP="00AD0F35">
      <w:pPr>
        <w:contextualSpacing/>
        <w:jc w:val="both"/>
        <w:rPr>
          <w:rFonts w:cs="Courier New"/>
        </w:rPr>
      </w:pPr>
      <w:r>
        <w:rPr>
          <w:rFonts w:cs="Courier New"/>
          <w:bCs/>
          <w:noProof/>
        </w:rPr>
        <w:t xml:space="preserve">   </w:t>
      </w:r>
      <w:r w:rsidR="00C36306">
        <w:rPr>
          <w:rFonts w:cs="Courier New"/>
          <w:bCs/>
          <w:noProof/>
        </w:rPr>
        <w:tab/>
      </w:r>
      <w:r w:rsidR="00C36306">
        <w:rPr>
          <w:rFonts w:cs="Courier New"/>
          <w:bCs/>
          <w:noProof/>
        </w:rPr>
        <w:tab/>
      </w:r>
      <w:r w:rsidR="00C36306">
        <w:rPr>
          <w:rFonts w:cs="Courier New"/>
          <w:bCs/>
          <w:noProof/>
        </w:rPr>
        <w:tab/>
      </w:r>
      <w:r w:rsidR="0028689D" w:rsidRPr="00546E95">
        <w:rPr>
          <w:rFonts w:cs="Courier New"/>
          <w:bCs/>
        </w:rPr>
        <w:tab/>
      </w:r>
      <w:r w:rsidR="0028689D">
        <w:rPr>
          <w:rFonts w:cs="Courier New"/>
          <w:bCs/>
        </w:rPr>
        <w:tab/>
      </w:r>
      <w:r>
        <w:rPr>
          <w:rFonts w:cs="Courier New"/>
          <w:bCs/>
        </w:rPr>
        <w:tab/>
      </w:r>
      <w:r>
        <w:rPr>
          <w:rFonts w:eastAsia="Times New Roman" w:cs="Courier New"/>
        </w:rPr>
        <w:t xml:space="preserve">COUNSEL:  </w:t>
      </w:r>
      <w:r w:rsidR="00AC56D2">
        <w:rPr>
          <w:rFonts w:eastAsia="Times New Roman" w:cs="Courier New"/>
        </w:rPr>
        <w:t>XXXXXXXXXXXXXXXXXXXXX</w:t>
      </w:r>
      <w:bookmarkStart w:id="0" w:name="_GoBack"/>
      <w:bookmarkEnd w:id="0"/>
    </w:p>
    <w:p w:rsidR="0028689D" w:rsidRPr="00546E95" w:rsidRDefault="0028689D" w:rsidP="00AD0F35">
      <w:pPr>
        <w:contextualSpacing/>
        <w:rPr>
          <w:rFonts w:eastAsia="Times New Roman" w:cs="Courier New"/>
        </w:rPr>
      </w:pPr>
    </w:p>
    <w:p w:rsidR="0028689D" w:rsidRPr="00546E95" w:rsidRDefault="0028689D" w:rsidP="00AD0F35">
      <w:pPr>
        <w:contextualSpacing/>
        <w:rPr>
          <w:rFonts w:eastAsia="Times New Roman" w:cs="Courier New"/>
        </w:rPr>
      </w:pPr>
      <w:r w:rsidRPr="00546E95">
        <w:rPr>
          <w:rFonts w:eastAsia="Times New Roman" w:cs="Courier New"/>
        </w:rPr>
        <w:tab/>
      </w:r>
      <w:r w:rsidRPr="00546E95">
        <w:rPr>
          <w:rFonts w:eastAsia="Times New Roman" w:cs="Courier New"/>
        </w:rPr>
        <w:tab/>
      </w:r>
      <w:r>
        <w:rPr>
          <w:rFonts w:eastAsia="Times New Roman" w:cs="Courier New"/>
        </w:rPr>
        <w:tab/>
      </w:r>
      <w:r>
        <w:rPr>
          <w:rFonts w:eastAsia="Times New Roman" w:cs="Courier New"/>
        </w:rPr>
        <w:tab/>
      </w:r>
      <w:r>
        <w:rPr>
          <w:rFonts w:eastAsia="Times New Roman" w:cs="Courier New"/>
        </w:rPr>
        <w:tab/>
      </w:r>
      <w:r>
        <w:rPr>
          <w:rFonts w:eastAsia="Times New Roman" w:cs="Courier New"/>
        </w:rPr>
        <w:tab/>
      </w:r>
      <w:r w:rsidRPr="00546E95">
        <w:rPr>
          <w:rFonts w:eastAsia="Times New Roman" w:cs="Courier New"/>
        </w:rPr>
        <w:t xml:space="preserve">HEARING DESIRED:  NO </w:t>
      </w:r>
    </w:p>
    <w:p w:rsidR="0028689D" w:rsidRPr="00546E95" w:rsidRDefault="0028689D" w:rsidP="00AD0F35">
      <w:pPr>
        <w:contextualSpacing/>
        <w:rPr>
          <w:rFonts w:eastAsia="Times New Roman" w:cs="Courier New"/>
        </w:rPr>
      </w:pPr>
    </w:p>
    <w:p w:rsidR="0028689D" w:rsidRPr="00546E95" w:rsidRDefault="0028689D" w:rsidP="00AD0F35">
      <w:pPr>
        <w:pBdr>
          <w:bottom w:val="single" w:sz="6" w:space="1" w:color="auto"/>
        </w:pBdr>
        <w:contextualSpacing/>
        <w:rPr>
          <w:rFonts w:eastAsia="Times New Roman" w:cs="Courier New"/>
        </w:rPr>
      </w:pPr>
    </w:p>
    <w:p w:rsidR="0028689D" w:rsidRPr="00546E95" w:rsidRDefault="0028689D" w:rsidP="00AD0F35">
      <w:pPr>
        <w:contextualSpacing/>
        <w:jc w:val="both"/>
        <w:rPr>
          <w:rFonts w:eastAsia="Times New Roman" w:cs="Courier New"/>
        </w:rPr>
      </w:pPr>
    </w:p>
    <w:p w:rsidR="0028689D" w:rsidRPr="00546E95" w:rsidRDefault="00BF7A3B" w:rsidP="00AD0F35">
      <w:pPr>
        <w:contextualSpacing/>
        <w:jc w:val="both"/>
        <w:rPr>
          <w:rFonts w:eastAsia="Times New Roman" w:cs="Courier New"/>
        </w:rPr>
      </w:pPr>
      <w:r>
        <w:rPr>
          <w:rFonts w:eastAsia="Times New Roman" w:cs="Courier New"/>
          <w:u w:val="single"/>
        </w:rPr>
        <w:t>APPLICANT REQUESTS</w:t>
      </w:r>
      <w:r w:rsidR="0028689D" w:rsidRPr="00546E95">
        <w:rPr>
          <w:rFonts w:eastAsia="Times New Roman" w:cs="Courier New"/>
        </w:rPr>
        <w:t>:</w:t>
      </w:r>
    </w:p>
    <w:p w:rsidR="0028689D" w:rsidRPr="00546E95" w:rsidRDefault="0028689D" w:rsidP="00AD0F35">
      <w:pPr>
        <w:contextualSpacing/>
        <w:jc w:val="both"/>
        <w:rPr>
          <w:rFonts w:eastAsia="Times New Roman" w:cs="Courier New"/>
        </w:rPr>
      </w:pPr>
    </w:p>
    <w:p w:rsidR="00BF7A3B" w:rsidRPr="00BF7A3B" w:rsidRDefault="00BF7A3B" w:rsidP="00BF7A3B">
      <w:pPr>
        <w:contextualSpacing/>
        <w:jc w:val="both"/>
        <w:rPr>
          <w:rFonts w:eastAsia="Times New Roman" w:cs="Courier New"/>
        </w:rPr>
      </w:pPr>
      <w:r>
        <w:rPr>
          <w:rFonts w:eastAsia="Times New Roman" w:cs="Courier New"/>
        </w:rPr>
        <w:t xml:space="preserve">Additional disability ratings be </w:t>
      </w:r>
      <w:r w:rsidR="00FE4249">
        <w:rPr>
          <w:rFonts w:eastAsia="Times New Roman" w:cs="Courier New"/>
        </w:rPr>
        <w:t xml:space="preserve">included in her disability case so she receives a higher overall total disability rating.  </w:t>
      </w:r>
    </w:p>
    <w:p w:rsidR="0028689D" w:rsidRPr="00546E95" w:rsidRDefault="0028689D" w:rsidP="00AD0F35">
      <w:pPr>
        <w:pBdr>
          <w:bottom w:val="single" w:sz="6" w:space="1" w:color="auto"/>
        </w:pBdr>
        <w:contextualSpacing/>
        <w:jc w:val="both"/>
        <w:rPr>
          <w:rFonts w:eastAsia="Times New Roman" w:cs="Courier New"/>
        </w:rPr>
      </w:pPr>
    </w:p>
    <w:p w:rsidR="0028689D" w:rsidRPr="00546E95" w:rsidRDefault="0028689D" w:rsidP="00AD0F35">
      <w:pPr>
        <w:contextualSpacing/>
        <w:jc w:val="both"/>
        <w:rPr>
          <w:rFonts w:eastAsia="Times New Roman" w:cs="Courier New"/>
        </w:rPr>
      </w:pPr>
    </w:p>
    <w:p w:rsidR="0028689D" w:rsidRPr="00546E95" w:rsidRDefault="00BF7A3B" w:rsidP="00AD0F35">
      <w:pPr>
        <w:contextualSpacing/>
        <w:jc w:val="both"/>
        <w:rPr>
          <w:rFonts w:eastAsia="Times New Roman" w:cs="Courier New"/>
        </w:rPr>
      </w:pPr>
      <w:r>
        <w:rPr>
          <w:rFonts w:eastAsia="Times New Roman" w:cs="Courier New"/>
          <w:u w:val="single"/>
        </w:rPr>
        <w:t>APPLICANT CONTENDS</w:t>
      </w:r>
      <w:r w:rsidR="0028689D" w:rsidRPr="00546E95">
        <w:rPr>
          <w:rFonts w:eastAsia="Times New Roman" w:cs="Courier New"/>
        </w:rPr>
        <w:t>:</w:t>
      </w:r>
    </w:p>
    <w:p w:rsidR="0028689D" w:rsidRPr="00546E95" w:rsidRDefault="0028689D" w:rsidP="00AD0F35">
      <w:pPr>
        <w:contextualSpacing/>
        <w:jc w:val="both"/>
        <w:rPr>
          <w:rFonts w:eastAsia="Times New Roman" w:cs="Courier New"/>
        </w:rPr>
      </w:pPr>
    </w:p>
    <w:p w:rsidR="006D2305" w:rsidRDefault="006D2305" w:rsidP="00AD0F35">
      <w:pPr>
        <w:contextualSpacing/>
        <w:jc w:val="both"/>
        <w:rPr>
          <w:rFonts w:eastAsia="Times New Roman" w:cs="Courier New"/>
        </w:rPr>
      </w:pPr>
      <w:r>
        <w:rPr>
          <w:rFonts w:eastAsia="Times New Roman" w:cs="Courier New"/>
        </w:rPr>
        <w:t xml:space="preserve">The Air Force did not properly </w:t>
      </w:r>
      <w:r w:rsidR="00660E02">
        <w:rPr>
          <w:rFonts w:eastAsia="Times New Roman" w:cs="Courier New"/>
        </w:rPr>
        <w:t xml:space="preserve">evaluate all of the applicant’s medical conditions.  </w:t>
      </w:r>
      <w:r w:rsidR="00551B81">
        <w:rPr>
          <w:rFonts w:eastAsia="Times New Roman" w:cs="Courier New"/>
        </w:rPr>
        <w:t>Medical Evaluation Boards (</w:t>
      </w:r>
      <w:r w:rsidR="00660E02">
        <w:rPr>
          <w:rFonts w:eastAsia="Times New Roman" w:cs="Courier New"/>
        </w:rPr>
        <w:t>MEBs</w:t>
      </w:r>
      <w:r w:rsidR="00D326C0">
        <w:rPr>
          <w:rFonts w:eastAsia="Times New Roman" w:cs="Courier New"/>
        </w:rPr>
        <w:t>)</w:t>
      </w:r>
      <w:r w:rsidR="00660E02">
        <w:rPr>
          <w:rFonts w:eastAsia="Times New Roman" w:cs="Courier New"/>
        </w:rPr>
        <w:t xml:space="preserve"> are required </w:t>
      </w:r>
      <w:proofErr w:type="gramStart"/>
      <w:r w:rsidR="00660E02">
        <w:rPr>
          <w:rFonts w:eastAsia="Times New Roman" w:cs="Courier New"/>
        </w:rPr>
        <w:t>to</w:t>
      </w:r>
      <w:proofErr w:type="gramEnd"/>
      <w:r w:rsidR="00660E02">
        <w:rPr>
          <w:rFonts w:eastAsia="Times New Roman" w:cs="Courier New"/>
        </w:rPr>
        <w:t xml:space="preserve"> “confirm the medical diagnosis for and document the full clinical information…of the Service member’s medical conditions that, individually or collectively, may prevent the Service member from performing the duties of his office, grade, rank, or rating.”  </w:t>
      </w:r>
      <w:r w:rsidR="00D15CA1">
        <w:rPr>
          <w:rFonts w:eastAsia="Times New Roman" w:cs="Courier New"/>
        </w:rPr>
        <w:t xml:space="preserve">Her commander stated she was limited to administrative duties.  </w:t>
      </w:r>
      <w:r w:rsidR="00660E02">
        <w:rPr>
          <w:rFonts w:eastAsia="Times New Roman" w:cs="Courier New"/>
        </w:rPr>
        <w:t xml:space="preserve">The MEB report did not engage in a complete review of the applicant’s medical conditions </w:t>
      </w:r>
      <w:r w:rsidR="00C80356">
        <w:rPr>
          <w:rFonts w:eastAsia="Times New Roman" w:cs="Courier New"/>
        </w:rPr>
        <w:t xml:space="preserve">as required by </w:t>
      </w:r>
      <w:proofErr w:type="spellStart"/>
      <w:r w:rsidR="00C80356">
        <w:rPr>
          <w:rFonts w:eastAsia="Times New Roman" w:cs="Courier New"/>
        </w:rPr>
        <w:t>DoDI</w:t>
      </w:r>
      <w:proofErr w:type="spellEnd"/>
      <w:r w:rsidR="00C80356">
        <w:rPr>
          <w:rFonts w:eastAsia="Times New Roman" w:cs="Courier New"/>
        </w:rPr>
        <w:t xml:space="preserve"> 1332.18, </w:t>
      </w:r>
      <w:r w:rsidR="00C80356" w:rsidRPr="00C80356">
        <w:rPr>
          <w:rFonts w:eastAsia="Times New Roman" w:cs="Courier New"/>
          <w:i/>
        </w:rPr>
        <w:t>Disability Evaluation System</w:t>
      </w:r>
      <w:r w:rsidR="00660E02">
        <w:rPr>
          <w:rFonts w:eastAsia="Times New Roman" w:cs="Courier New"/>
        </w:rPr>
        <w:t xml:space="preserve">, and instead only analyzed the chronic pain.  After receiving the applicant’s </w:t>
      </w:r>
      <w:r w:rsidR="00D326C0">
        <w:rPr>
          <w:rFonts w:eastAsia="Times New Roman" w:cs="Courier New"/>
        </w:rPr>
        <w:t>Department of Veterans Affairs (</w:t>
      </w:r>
      <w:r w:rsidR="00660E02">
        <w:rPr>
          <w:rFonts w:eastAsia="Times New Roman" w:cs="Courier New"/>
        </w:rPr>
        <w:t>DVA</w:t>
      </w:r>
      <w:r w:rsidR="00D326C0">
        <w:rPr>
          <w:rFonts w:eastAsia="Times New Roman" w:cs="Courier New"/>
        </w:rPr>
        <w:t>)</w:t>
      </w:r>
      <w:r w:rsidR="00660E02">
        <w:rPr>
          <w:rFonts w:eastAsia="Times New Roman" w:cs="Courier New"/>
        </w:rPr>
        <w:t xml:space="preserve"> rating, rather than evaluate these additional condition</w:t>
      </w:r>
      <w:r w:rsidR="00D924FA">
        <w:rPr>
          <w:rFonts w:eastAsia="Times New Roman" w:cs="Courier New"/>
        </w:rPr>
        <w:t>s</w:t>
      </w:r>
      <w:r w:rsidR="00660E02">
        <w:rPr>
          <w:rFonts w:eastAsia="Times New Roman" w:cs="Courier New"/>
        </w:rPr>
        <w:t>, the Air Force simply added them to the list of conditions that did not render her unfit for</w:t>
      </w:r>
      <w:r w:rsidR="00D326C0">
        <w:rPr>
          <w:rFonts w:eastAsia="Times New Roman" w:cs="Courier New"/>
        </w:rPr>
        <w:t xml:space="preserve"> duty, and issued an amended AF Form </w:t>
      </w:r>
      <w:r w:rsidR="00660E02">
        <w:rPr>
          <w:rFonts w:eastAsia="Times New Roman" w:cs="Courier New"/>
        </w:rPr>
        <w:t>356</w:t>
      </w:r>
      <w:r w:rsidR="00C80356">
        <w:rPr>
          <w:rFonts w:eastAsia="Times New Roman" w:cs="Courier New"/>
        </w:rPr>
        <w:t xml:space="preserve">, </w:t>
      </w:r>
      <w:r w:rsidR="00C80356" w:rsidRPr="00C80356">
        <w:rPr>
          <w:rFonts w:eastAsia="Times New Roman" w:cs="Courier New"/>
          <w:i/>
        </w:rPr>
        <w:t>Findings and Recommended Disposition of USAF Physical Evaluation Board</w:t>
      </w:r>
      <w:r w:rsidR="00660E02">
        <w:rPr>
          <w:rFonts w:eastAsia="Times New Roman" w:cs="Courier New"/>
        </w:rPr>
        <w:t xml:space="preserve">.  It is clear she was denied a full and fair consideration of her conditions.  For example, the applicant’s anxiety and depression was initially designated by the Air Force as only an adjustment disorder with accompanying symptoms, but was corrected by the DVA to </w:t>
      </w:r>
      <w:r w:rsidR="00A847B6">
        <w:rPr>
          <w:rFonts w:eastAsia="Times New Roman" w:cs="Courier New"/>
        </w:rPr>
        <w:t>a designation</w:t>
      </w:r>
      <w:r w:rsidR="00D15CA1">
        <w:rPr>
          <w:rFonts w:eastAsia="Times New Roman" w:cs="Courier New"/>
        </w:rPr>
        <w:t xml:space="preserve"> of panic disorder with agorapho</w:t>
      </w:r>
      <w:r w:rsidR="00A847B6">
        <w:rPr>
          <w:rFonts w:eastAsia="Times New Roman" w:cs="Courier New"/>
        </w:rPr>
        <w:t>bia and major depressive disorder</w:t>
      </w:r>
      <w:r w:rsidR="00D326C0">
        <w:rPr>
          <w:rFonts w:eastAsia="Times New Roman" w:cs="Courier New"/>
        </w:rPr>
        <w:t xml:space="preserve"> (MDD)</w:t>
      </w:r>
      <w:r w:rsidR="00A847B6">
        <w:rPr>
          <w:rFonts w:eastAsia="Times New Roman" w:cs="Courier New"/>
        </w:rPr>
        <w:t>.  The Air Force did not evaluate whether any mental issues rendered the applicant unfit for duty, an error which is potentially attributable to the treatment of her condition as an adjustment disorder.  It appears her mental issues even had a role in her weight, which was not evaluated but should have been</w:t>
      </w:r>
      <w:r w:rsidR="006A4B58">
        <w:rPr>
          <w:rFonts w:eastAsia="Times New Roman" w:cs="Courier New"/>
        </w:rPr>
        <w:t xml:space="preserve">. </w:t>
      </w:r>
      <w:r w:rsidR="00A847B6">
        <w:rPr>
          <w:rFonts w:eastAsia="Times New Roman" w:cs="Courier New"/>
        </w:rPr>
        <w:t xml:space="preserve"> It is clear her panic disorder with depression rendered her unfit for duty.  Her acceptance of the Air Force findings at the time </w:t>
      </w:r>
      <w:r w:rsidR="006A4B58">
        <w:rPr>
          <w:rFonts w:eastAsia="Times New Roman" w:cs="Courier New"/>
        </w:rPr>
        <w:t xml:space="preserve">was </w:t>
      </w:r>
      <w:r w:rsidR="00A847B6">
        <w:rPr>
          <w:rFonts w:eastAsia="Times New Roman" w:cs="Courier New"/>
        </w:rPr>
        <w:t xml:space="preserve">because, as her medical records demonstrate, </w:t>
      </w:r>
      <w:r w:rsidR="006A4B58">
        <w:rPr>
          <w:rFonts w:eastAsia="Times New Roman" w:cs="Courier New"/>
        </w:rPr>
        <w:t>s</w:t>
      </w:r>
      <w:r w:rsidR="00A847B6">
        <w:rPr>
          <w:rFonts w:eastAsia="Times New Roman" w:cs="Courier New"/>
        </w:rPr>
        <w:t xml:space="preserve">he was confused about the process and not provided adequate guidance.  </w:t>
      </w:r>
    </w:p>
    <w:p w:rsidR="0028689D" w:rsidRPr="00546E95" w:rsidRDefault="0028689D" w:rsidP="00AD0F35">
      <w:pPr>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rPr>
        <w:t xml:space="preserve">The applicant’s complete submission, </w:t>
      </w:r>
      <w:r w:rsidR="00D326C0">
        <w:rPr>
          <w:rFonts w:eastAsia="Times New Roman" w:cs="Courier New"/>
        </w:rPr>
        <w:t>with attachments, is at Exhibit </w:t>
      </w:r>
      <w:r w:rsidRPr="00546E95">
        <w:rPr>
          <w:rFonts w:eastAsia="Times New Roman" w:cs="Courier New"/>
        </w:rPr>
        <w:t>A.</w:t>
      </w:r>
    </w:p>
    <w:p w:rsidR="0028689D" w:rsidRPr="00546E95" w:rsidRDefault="0028689D" w:rsidP="00AD0F35">
      <w:pPr>
        <w:pBdr>
          <w:bottom w:val="single" w:sz="6" w:space="1" w:color="auto"/>
        </w:pBdr>
        <w:contextualSpacing/>
        <w:jc w:val="both"/>
        <w:rPr>
          <w:rFonts w:eastAsia="Times New Roman" w:cs="Courier New"/>
        </w:rPr>
      </w:pPr>
    </w:p>
    <w:p w:rsidR="0028689D" w:rsidRPr="00546E95" w:rsidRDefault="0028689D" w:rsidP="00AD0F35">
      <w:pPr>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rsidR="0028689D" w:rsidRPr="00546E95" w:rsidRDefault="0028689D" w:rsidP="00AD0F35">
      <w:pPr>
        <w:contextualSpacing/>
        <w:jc w:val="both"/>
        <w:rPr>
          <w:rFonts w:eastAsia="Times New Roman" w:cs="Courier New"/>
        </w:rPr>
      </w:pPr>
    </w:p>
    <w:p w:rsidR="000C2CA3" w:rsidRDefault="000C2CA3" w:rsidP="00AD0F35">
      <w:pPr>
        <w:contextualSpacing/>
        <w:jc w:val="both"/>
        <w:rPr>
          <w:rFonts w:eastAsia="Times New Roman" w:cs="Courier New"/>
        </w:rPr>
      </w:pPr>
      <w:r>
        <w:rPr>
          <w:rFonts w:eastAsia="Times New Roman" w:cs="Courier New"/>
        </w:rPr>
        <w:t>On 19 Jan 07, the applicant si</w:t>
      </w:r>
      <w:r w:rsidR="00D924FA">
        <w:rPr>
          <w:rFonts w:eastAsia="Times New Roman" w:cs="Courier New"/>
        </w:rPr>
        <w:t>g</w:t>
      </w:r>
      <w:r>
        <w:rPr>
          <w:rFonts w:eastAsia="Times New Roman" w:cs="Courier New"/>
        </w:rPr>
        <w:t xml:space="preserve">ned her DD Form 2807-1, </w:t>
      </w:r>
      <w:r w:rsidRPr="000C2CA3">
        <w:rPr>
          <w:rFonts w:eastAsia="Times New Roman" w:cs="Courier New"/>
          <w:i/>
        </w:rPr>
        <w:t>Report of Medical History</w:t>
      </w:r>
      <w:r>
        <w:rPr>
          <w:rFonts w:eastAsia="Times New Roman" w:cs="Courier New"/>
        </w:rPr>
        <w:t xml:space="preserve">, </w:t>
      </w:r>
      <w:r w:rsidR="00E57E6A">
        <w:rPr>
          <w:rFonts w:eastAsia="Times New Roman" w:cs="Courier New"/>
        </w:rPr>
        <w:t xml:space="preserve">certifying she had not used marijuana, engaged in other drug or alcohol abuse, abused prescription drugs, or ever suffered from depression of excessive worry. </w:t>
      </w:r>
    </w:p>
    <w:p w:rsidR="00DC7EAD" w:rsidRDefault="00DC7EAD" w:rsidP="00AD0F35">
      <w:pPr>
        <w:contextualSpacing/>
        <w:jc w:val="both"/>
        <w:rPr>
          <w:rFonts w:eastAsia="Times New Roman" w:cs="Courier New"/>
        </w:rPr>
      </w:pPr>
    </w:p>
    <w:p w:rsidR="00DC7EAD" w:rsidRDefault="00DC7EAD" w:rsidP="00AD0F35">
      <w:pPr>
        <w:contextualSpacing/>
        <w:jc w:val="both"/>
        <w:rPr>
          <w:rFonts w:eastAsia="Times New Roman" w:cs="Courier New"/>
        </w:rPr>
      </w:pPr>
      <w:r>
        <w:rPr>
          <w:rFonts w:eastAsia="Times New Roman" w:cs="Courier New"/>
        </w:rPr>
        <w:t xml:space="preserve">On 10 Jul 07, the applicant signed </w:t>
      </w:r>
      <w:r w:rsidR="000529F8">
        <w:rPr>
          <w:rFonts w:eastAsia="Times New Roman" w:cs="Courier New"/>
        </w:rPr>
        <w:t>a</w:t>
      </w:r>
      <w:r>
        <w:rPr>
          <w:rFonts w:eastAsia="Times New Roman" w:cs="Courier New"/>
        </w:rPr>
        <w:t xml:space="preserve"> Standard Form 86, </w:t>
      </w:r>
      <w:r w:rsidRPr="00DC7EAD">
        <w:rPr>
          <w:rFonts w:eastAsia="Times New Roman" w:cs="Courier New"/>
          <w:i/>
        </w:rPr>
        <w:t>Questionnaire for National Security Positions</w:t>
      </w:r>
      <w:r>
        <w:rPr>
          <w:rFonts w:eastAsia="Times New Roman" w:cs="Courier New"/>
        </w:rPr>
        <w:t>, affirming that since the age of 16 she had never used controlled substances such as marijuana or other illegal drugs.</w:t>
      </w:r>
    </w:p>
    <w:p w:rsidR="000C2CA3" w:rsidRDefault="000C2CA3" w:rsidP="00AD0F35">
      <w:pPr>
        <w:contextualSpacing/>
        <w:jc w:val="both"/>
        <w:rPr>
          <w:rFonts w:eastAsia="Times New Roman" w:cs="Courier New"/>
        </w:rPr>
      </w:pPr>
    </w:p>
    <w:p w:rsidR="000C2CA3" w:rsidRDefault="000529F8" w:rsidP="00AD0F35">
      <w:pPr>
        <w:contextualSpacing/>
        <w:jc w:val="both"/>
        <w:rPr>
          <w:rFonts w:eastAsia="Times New Roman" w:cs="Courier New"/>
        </w:rPr>
      </w:pPr>
      <w:proofErr w:type="gramStart"/>
      <w:r w:rsidRPr="00546E95">
        <w:rPr>
          <w:rFonts w:eastAsia="Times New Roman" w:cs="Courier New"/>
        </w:rPr>
        <w:t>on</w:t>
      </w:r>
      <w:proofErr w:type="gramEnd"/>
      <w:r w:rsidRPr="00546E95">
        <w:rPr>
          <w:rFonts w:eastAsia="Times New Roman" w:cs="Courier New"/>
        </w:rPr>
        <w:t xml:space="preserve"> </w:t>
      </w:r>
      <w:r>
        <w:rPr>
          <w:rFonts w:eastAsia="Times New Roman" w:cs="Courier New"/>
        </w:rPr>
        <w:t>24 Jul 07, t</w:t>
      </w:r>
      <w:r w:rsidR="0028689D" w:rsidRPr="00546E95">
        <w:rPr>
          <w:rFonts w:eastAsia="Times New Roman" w:cs="Courier New"/>
        </w:rPr>
        <w:t>he applicant entered the Regular Air Force.</w:t>
      </w:r>
    </w:p>
    <w:p w:rsidR="006A4B58" w:rsidRDefault="006A4B58" w:rsidP="00AD0F35">
      <w:pPr>
        <w:contextualSpacing/>
        <w:jc w:val="both"/>
        <w:rPr>
          <w:rFonts w:eastAsia="Times New Roman" w:cs="Courier New"/>
        </w:rPr>
      </w:pPr>
    </w:p>
    <w:p w:rsidR="006A4B58" w:rsidRDefault="006A4B58" w:rsidP="00AD0F35">
      <w:pPr>
        <w:contextualSpacing/>
        <w:jc w:val="both"/>
        <w:rPr>
          <w:rFonts w:eastAsia="Times New Roman" w:cs="Courier New"/>
        </w:rPr>
      </w:pPr>
      <w:r>
        <w:rPr>
          <w:rFonts w:eastAsia="Times New Roman" w:cs="Courier New"/>
        </w:rPr>
        <w:t xml:space="preserve">On May 12, an MEB reviewed the applicant’s case and forwarded it to an IPEB </w:t>
      </w:r>
      <w:r w:rsidR="005458DD">
        <w:rPr>
          <w:rFonts w:eastAsia="Times New Roman" w:cs="Courier New"/>
        </w:rPr>
        <w:t xml:space="preserve">due to her chronic pain. </w:t>
      </w:r>
    </w:p>
    <w:p w:rsidR="005458DD" w:rsidRDefault="005458DD" w:rsidP="00AD0F35">
      <w:pPr>
        <w:contextualSpacing/>
        <w:jc w:val="both"/>
        <w:rPr>
          <w:rFonts w:eastAsia="Times New Roman" w:cs="Courier New"/>
        </w:rPr>
      </w:pPr>
    </w:p>
    <w:p w:rsidR="005458DD" w:rsidRDefault="00DC7EAD" w:rsidP="00AD0F35">
      <w:pPr>
        <w:contextualSpacing/>
        <w:jc w:val="both"/>
        <w:rPr>
          <w:rFonts w:eastAsia="Times New Roman" w:cs="Courier New"/>
        </w:rPr>
      </w:pPr>
      <w:r>
        <w:rPr>
          <w:rFonts w:eastAsia="Times New Roman" w:cs="Courier New"/>
        </w:rPr>
        <w:t xml:space="preserve">On </w:t>
      </w:r>
      <w:r w:rsidR="00B56D65">
        <w:rPr>
          <w:rFonts w:eastAsia="Times New Roman" w:cs="Courier New"/>
        </w:rPr>
        <w:t xml:space="preserve">17 Aug 12, </w:t>
      </w:r>
      <w:r w:rsidR="005458DD">
        <w:rPr>
          <w:rFonts w:eastAsia="Times New Roman" w:cs="Courier New"/>
        </w:rPr>
        <w:t xml:space="preserve">an </w:t>
      </w:r>
      <w:r w:rsidR="00B56D65">
        <w:rPr>
          <w:rFonts w:eastAsia="Times New Roman" w:cs="Courier New"/>
        </w:rPr>
        <w:t>Informal Physical Evaluation Board (</w:t>
      </w:r>
      <w:r w:rsidR="005458DD">
        <w:rPr>
          <w:rFonts w:eastAsia="Times New Roman" w:cs="Courier New"/>
        </w:rPr>
        <w:t>IPEB</w:t>
      </w:r>
      <w:r w:rsidR="00B56D65">
        <w:rPr>
          <w:rFonts w:eastAsia="Times New Roman" w:cs="Courier New"/>
        </w:rPr>
        <w:t>)</w:t>
      </w:r>
      <w:r w:rsidR="005458DD">
        <w:rPr>
          <w:rFonts w:eastAsia="Times New Roman" w:cs="Courier New"/>
        </w:rPr>
        <w:t xml:space="preserve"> determined a single medical condition rendered her unfit.  The condition was left flank pain with unknown etiology</w:t>
      </w:r>
      <w:r w:rsidR="00B56D65">
        <w:rPr>
          <w:rFonts w:eastAsia="Times New Roman" w:cs="Courier New"/>
        </w:rPr>
        <w:t>, and noted although not unfitting or compensable, she was severely obese.</w:t>
      </w:r>
      <w:r w:rsidR="005458DD">
        <w:rPr>
          <w:rFonts w:eastAsia="Times New Roman" w:cs="Courier New"/>
        </w:rPr>
        <w:t xml:space="preserve">  </w:t>
      </w:r>
    </w:p>
    <w:p w:rsidR="005F3D13" w:rsidRDefault="005F3D13" w:rsidP="00AD0F35">
      <w:pPr>
        <w:contextualSpacing/>
        <w:jc w:val="both"/>
        <w:rPr>
          <w:rFonts w:eastAsia="Times New Roman" w:cs="Courier New"/>
        </w:rPr>
      </w:pPr>
    </w:p>
    <w:p w:rsidR="005F3D13" w:rsidRDefault="005F3D13" w:rsidP="00AD0F35">
      <w:pPr>
        <w:contextualSpacing/>
        <w:jc w:val="both"/>
        <w:rPr>
          <w:rFonts w:eastAsia="Times New Roman" w:cs="Courier New"/>
        </w:rPr>
      </w:pPr>
      <w:r>
        <w:rPr>
          <w:rFonts w:eastAsia="Times New Roman" w:cs="Courier New"/>
        </w:rPr>
        <w:t xml:space="preserve">On 28 Aug 12, the DVA rated the applicant with a combined rating of 80 percent service-connected disability for multiple medical conditions, which included a rating of “0 percent” for </w:t>
      </w:r>
      <w:r w:rsidR="0090568C">
        <w:rPr>
          <w:rFonts w:eastAsia="Times New Roman" w:cs="Courier New"/>
        </w:rPr>
        <w:t xml:space="preserve">chronic left flank pain. </w:t>
      </w:r>
    </w:p>
    <w:p w:rsidR="00B56D65" w:rsidRDefault="00B56D65" w:rsidP="00AD0F35">
      <w:pPr>
        <w:contextualSpacing/>
        <w:jc w:val="both"/>
        <w:rPr>
          <w:rFonts w:eastAsia="Times New Roman" w:cs="Courier New"/>
        </w:rPr>
      </w:pPr>
    </w:p>
    <w:p w:rsidR="00B56D65" w:rsidRDefault="00B56D65" w:rsidP="00AD0F35">
      <w:pPr>
        <w:contextualSpacing/>
        <w:jc w:val="both"/>
        <w:rPr>
          <w:rFonts w:eastAsia="Times New Roman" w:cs="Courier New"/>
        </w:rPr>
      </w:pPr>
      <w:r>
        <w:rPr>
          <w:rFonts w:eastAsia="Times New Roman" w:cs="Courier New"/>
        </w:rPr>
        <w:t>On 10 Sep 12, the IPEB accepted the DVA</w:t>
      </w:r>
      <w:r w:rsidR="00D924FA">
        <w:rPr>
          <w:rFonts w:eastAsia="Times New Roman" w:cs="Courier New"/>
        </w:rPr>
        <w:t>’s</w:t>
      </w:r>
      <w:r>
        <w:rPr>
          <w:rFonts w:eastAsia="Times New Roman" w:cs="Courier New"/>
        </w:rPr>
        <w:t xml:space="preserve"> rating of “0 percent” for her chronic left flank pain, and added seven other medical conditions which were determined not to be unfitting.  </w:t>
      </w:r>
    </w:p>
    <w:p w:rsidR="005F3D13" w:rsidRDefault="005F3D13" w:rsidP="00AD0F35">
      <w:pPr>
        <w:contextualSpacing/>
        <w:jc w:val="both"/>
        <w:rPr>
          <w:rFonts w:eastAsia="Times New Roman" w:cs="Courier New"/>
        </w:rPr>
      </w:pPr>
    </w:p>
    <w:p w:rsidR="005F3D13" w:rsidRPr="00546E95" w:rsidRDefault="005F3D13" w:rsidP="00AD0F35">
      <w:pPr>
        <w:contextualSpacing/>
        <w:jc w:val="both"/>
        <w:rPr>
          <w:rFonts w:eastAsia="Times New Roman" w:cs="Courier New"/>
        </w:rPr>
      </w:pPr>
      <w:r>
        <w:rPr>
          <w:rFonts w:eastAsia="Times New Roman" w:cs="Courier New"/>
        </w:rPr>
        <w:t xml:space="preserve">On 20 Sep 12, the applicant signed the AF Form 1180, </w:t>
      </w:r>
      <w:r w:rsidRPr="005F3D13">
        <w:rPr>
          <w:rFonts w:eastAsia="Times New Roman" w:cs="Courier New"/>
          <w:i/>
        </w:rPr>
        <w:t>Action on Physical Evaluation Board Findings and Recommended Disposition</w:t>
      </w:r>
      <w:r>
        <w:rPr>
          <w:rFonts w:eastAsia="Times New Roman" w:cs="Courier New"/>
        </w:rPr>
        <w:t xml:space="preserve">, stating “I agree with the findings and recommended disposition of the informal PEB and am waiving the right to a formal PEB hearing.” </w:t>
      </w:r>
    </w:p>
    <w:p w:rsidR="0028689D" w:rsidRPr="00546E95" w:rsidRDefault="0028689D" w:rsidP="00AD0F35">
      <w:pPr>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rPr>
        <w:t xml:space="preserve">On </w:t>
      </w:r>
      <w:r w:rsidR="0097244D">
        <w:rPr>
          <w:rFonts w:eastAsia="Times New Roman" w:cs="Courier New"/>
        </w:rPr>
        <w:t>27 Nov 12</w:t>
      </w:r>
      <w:r w:rsidRPr="00546E95">
        <w:rPr>
          <w:rFonts w:eastAsia="Times New Roman" w:cs="Courier New"/>
        </w:rPr>
        <w:t xml:space="preserve">, the applicant was furnished an honorable discharge, </w:t>
      </w:r>
      <w:r w:rsidR="000C2CA3">
        <w:rPr>
          <w:rFonts w:eastAsia="Times New Roman" w:cs="Courier New"/>
        </w:rPr>
        <w:t xml:space="preserve">with a narrative reason for separation of “Disability, Severance Pay, </w:t>
      </w:r>
      <w:proofErr w:type="spellStart"/>
      <w:r w:rsidR="000C2CA3">
        <w:rPr>
          <w:rFonts w:eastAsia="Times New Roman" w:cs="Courier New"/>
        </w:rPr>
        <w:t>Non Combat</w:t>
      </w:r>
      <w:proofErr w:type="spellEnd"/>
      <w:r w:rsidR="000C2CA3">
        <w:rPr>
          <w:rFonts w:eastAsia="Times New Roman" w:cs="Courier New"/>
        </w:rPr>
        <w:t xml:space="preserve"> (Enhanced),” </w:t>
      </w:r>
      <w:r w:rsidRPr="00546E95">
        <w:rPr>
          <w:rFonts w:eastAsia="Times New Roman" w:cs="Courier New"/>
        </w:rPr>
        <w:t xml:space="preserve">and was credited with </w:t>
      </w:r>
      <w:r w:rsidR="005458DD" w:rsidRPr="005458DD">
        <w:rPr>
          <w:rFonts w:eastAsia="Times New Roman" w:cs="Courier New"/>
        </w:rPr>
        <w:t>5</w:t>
      </w:r>
      <w:r w:rsidRPr="00546E95">
        <w:rPr>
          <w:rFonts w:eastAsia="Times New Roman" w:cs="Courier New"/>
        </w:rPr>
        <w:t xml:space="preserve"> years, </w:t>
      </w:r>
      <w:r w:rsidR="005458DD" w:rsidRPr="005458DD">
        <w:rPr>
          <w:rFonts w:eastAsia="Times New Roman" w:cs="Courier New"/>
        </w:rPr>
        <w:t>4</w:t>
      </w:r>
      <w:r w:rsidRPr="00546E95">
        <w:rPr>
          <w:rFonts w:eastAsia="Times New Roman" w:cs="Courier New"/>
        </w:rPr>
        <w:t xml:space="preserve"> months, and </w:t>
      </w:r>
      <w:r w:rsidR="005458DD" w:rsidRPr="005458DD">
        <w:rPr>
          <w:rFonts w:eastAsia="Times New Roman" w:cs="Courier New"/>
        </w:rPr>
        <w:t>4</w:t>
      </w:r>
      <w:r w:rsidRPr="00546E95">
        <w:rPr>
          <w:rFonts w:eastAsia="Times New Roman" w:cs="Courier New"/>
        </w:rPr>
        <w:t xml:space="preserve"> days of active service.   </w:t>
      </w:r>
    </w:p>
    <w:p w:rsidR="0028689D" w:rsidRPr="00546E95" w:rsidRDefault="0028689D" w:rsidP="00AD0F35">
      <w:pPr>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rPr>
        <w:t>The remaining relevant facts pertaining to this application</w:t>
      </w:r>
      <w:r w:rsidR="00FE45AF">
        <w:rPr>
          <w:rFonts w:eastAsia="Times New Roman" w:cs="Courier New"/>
        </w:rPr>
        <w:t xml:space="preserve"> are contained in the memoranda</w:t>
      </w:r>
      <w:r w:rsidRPr="00546E95">
        <w:rPr>
          <w:rFonts w:eastAsia="Times New Roman" w:cs="Courier New"/>
        </w:rPr>
        <w:t xml:space="preserve"> prepared by the Air Force office</w:t>
      </w:r>
      <w:r w:rsidR="00FE45AF">
        <w:rPr>
          <w:rFonts w:eastAsia="Times New Roman" w:cs="Courier New"/>
        </w:rPr>
        <w:t>s</w:t>
      </w:r>
      <w:r w:rsidRPr="00546E95">
        <w:rPr>
          <w:rFonts w:eastAsia="Times New Roman" w:cs="Courier New"/>
        </w:rPr>
        <w:t xml:space="preserve"> of primary responsibility (OPR</w:t>
      </w:r>
      <w:r w:rsidR="00FE45AF">
        <w:rPr>
          <w:rFonts w:eastAsia="Times New Roman" w:cs="Courier New"/>
        </w:rPr>
        <w:t>s), which are</w:t>
      </w:r>
      <w:r w:rsidRPr="00546E95">
        <w:rPr>
          <w:rFonts w:eastAsia="Times New Roman" w:cs="Courier New"/>
        </w:rPr>
        <w:t xml:space="preserve"> attached at Exhibit</w:t>
      </w:r>
      <w:r w:rsidR="00FE45AF">
        <w:rPr>
          <w:rFonts w:eastAsia="Times New Roman" w:cs="Courier New"/>
        </w:rPr>
        <w:t>s</w:t>
      </w:r>
      <w:r w:rsidRPr="00546E95">
        <w:rPr>
          <w:rFonts w:eastAsia="Times New Roman" w:cs="Courier New"/>
        </w:rPr>
        <w:t xml:space="preserve"> C</w:t>
      </w:r>
      <w:r w:rsidR="00D924FA">
        <w:rPr>
          <w:rFonts w:eastAsia="Times New Roman" w:cs="Courier New"/>
        </w:rPr>
        <w:t>, E, and F</w:t>
      </w:r>
      <w:r w:rsidRPr="00546E95">
        <w:rPr>
          <w:rFonts w:eastAsia="Times New Roman" w:cs="Courier New"/>
        </w:rPr>
        <w:t xml:space="preserve">.    </w:t>
      </w:r>
    </w:p>
    <w:p w:rsidR="0028689D" w:rsidRPr="00546E95" w:rsidRDefault="0028689D" w:rsidP="00AD0F35">
      <w:pPr>
        <w:pBdr>
          <w:bottom w:val="single" w:sz="6" w:space="1" w:color="auto"/>
        </w:pBdr>
        <w:contextualSpacing/>
        <w:jc w:val="both"/>
        <w:rPr>
          <w:rFonts w:eastAsia="Times New Roman" w:cs="Courier New"/>
        </w:rPr>
      </w:pPr>
    </w:p>
    <w:p w:rsidR="0028689D" w:rsidRPr="00546E95" w:rsidRDefault="0028689D" w:rsidP="00AD0F35">
      <w:pPr>
        <w:contextualSpacing/>
        <w:jc w:val="both"/>
        <w:rPr>
          <w:rFonts w:eastAsia="Times New Roman" w:cs="Courier New"/>
          <w:u w:val="single"/>
        </w:rPr>
      </w:pPr>
    </w:p>
    <w:p w:rsidR="0028689D" w:rsidRPr="00546E95" w:rsidRDefault="0028689D" w:rsidP="00AD0F35">
      <w:pPr>
        <w:contextualSpacing/>
        <w:jc w:val="both"/>
        <w:rPr>
          <w:rFonts w:eastAsia="Times New Roman" w:cs="Courier New"/>
        </w:rPr>
      </w:pPr>
      <w:r w:rsidRPr="00546E95">
        <w:rPr>
          <w:rFonts w:eastAsia="Times New Roman" w:cs="Courier New"/>
          <w:u w:val="single"/>
        </w:rPr>
        <w:t>AIR FORCE EVALUATION</w:t>
      </w:r>
      <w:r w:rsidR="00FE45AF">
        <w:rPr>
          <w:rFonts w:eastAsia="Times New Roman" w:cs="Courier New"/>
          <w:u w:val="single"/>
        </w:rPr>
        <w:t>S</w:t>
      </w:r>
      <w:r w:rsidRPr="00546E95">
        <w:rPr>
          <w:rFonts w:eastAsia="Times New Roman" w:cs="Courier New"/>
        </w:rPr>
        <w:t>:</w:t>
      </w:r>
    </w:p>
    <w:p w:rsidR="0028689D" w:rsidRPr="00546E95" w:rsidRDefault="0028689D" w:rsidP="00AD0F35">
      <w:pPr>
        <w:contextualSpacing/>
        <w:jc w:val="both"/>
        <w:rPr>
          <w:rFonts w:eastAsia="Times New Roman" w:cs="Courier New"/>
        </w:rPr>
      </w:pPr>
    </w:p>
    <w:p w:rsidR="00B23823" w:rsidRDefault="0097244D" w:rsidP="00FE45AF">
      <w:pPr>
        <w:contextualSpacing/>
        <w:jc w:val="both"/>
        <w:rPr>
          <w:rFonts w:eastAsia="Times New Roman" w:cs="Courier New"/>
        </w:rPr>
      </w:pPr>
      <w:r>
        <w:rPr>
          <w:rFonts w:eastAsia="Times New Roman" w:cs="Courier New"/>
        </w:rPr>
        <w:t>AFPC/DPFDD</w:t>
      </w:r>
      <w:r w:rsidRPr="00546E95">
        <w:rPr>
          <w:rFonts w:eastAsia="Times New Roman" w:cs="Courier New"/>
        </w:rPr>
        <w:t xml:space="preserve"> </w:t>
      </w:r>
      <w:r w:rsidR="0028689D" w:rsidRPr="00546E95">
        <w:rPr>
          <w:rFonts w:eastAsia="Times New Roman" w:cs="Courier New"/>
        </w:rPr>
        <w:t xml:space="preserve">recommends denial indicating there is no evidence of an error or an injustice.  </w:t>
      </w:r>
      <w:r w:rsidR="00B23823" w:rsidRPr="00B23823">
        <w:rPr>
          <w:rFonts w:eastAsia="Times New Roman" w:cs="Courier New"/>
        </w:rPr>
        <w:t xml:space="preserve">The Air Force and the </w:t>
      </w:r>
      <w:r w:rsidR="00B23823">
        <w:rPr>
          <w:rFonts w:eastAsia="Times New Roman" w:cs="Courier New"/>
        </w:rPr>
        <w:t>D</w:t>
      </w:r>
      <w:r w:rsidR="00B23823" w:rsidRPr="00B23823">
        <w:rPr>
          <w:rFonts w:eastAsia="Times New Roman" w:cs="Courier New"/>
        </w:rPr>
        <w:t xml:space="preserve">VA disability systems operate under separate laws. </w:t>
      </w:r>
      <w:r w:rsidR="00B23823">
        <w:rPr>
          <w:rFonts w:eastAsia="Times New Roman" w:cs="Courier New"/>
        </w:rPr>
        <w:t xml:space="preserve"> </w:t>
      </w:r>
      <w:r w:rsidR="00B23823" w:rsidRPr="00B23823">
        <w:rPr>
          <w:rFonts w:eastAsia="Times New Roman" w:cs="Courier New"/>
        </w:rPr>
        <w:t xml:space="preserve">Under the Air Force system (Title 10, </w:t>
      </w:r>
      <w:r w:rsidR="00B23823" w:rsidRPr="00B23823">
        <w:rPr>
          <w:rFonts w:eastAsia="Times New Roman" w:cs="Courier New"/>
        </w:rPr>
        <w:lastRenderedPageBreak/>
        <w:t xml:space="preserve">United States Code [U.S.C.]), </w:t>
      </w:r>
      <w:r w:rsidR="00B23823">
        <w:rPr>
          <w:rFonts w:eastAsia="Times New Roman" w:cs="Courier New"/>
        </w:rPr>
        <w:t>PEBs</w:t>
      </w:r>
      <w:r w:rsidR="00B23823" w:rsidRPr="00B23823">
        <w:rPr>
          <w:rFonts w:eastAsia="Times New Roman" w:cs="Courier New"/>
        </w:rPr>
        <w:t xml:space="preserve"> must determine whether an airman’s medical condition renders them unfit for duty. </w:t>
      </w:r>
      <w:r w:rsidR="00B23823">
        <w:rPr>
          <w:rFonts w:eastAsia="Times New Roman" w:cs="Courier New"/>
        </w:rPr>
        <w:t xml:space="preserve"> </w:t>
      </w:r>
      <w:r w:rsidR="00B23823" w:rsidRPr="00B23823">
        <w:rPr>
          <w:rFonts w:eastAsia="Times New Roman" w:cs="Courier New"/>
        </w:rPr>
        <w:t xml:space="preserve">If the board renders a finding of unfit, the law provides for compensation to those military members whose careers are shortened due to a service-incurred or service-aggravated physical disability. </w:t>
      </w:r>
      <w:r w:rsidR="00B23823">
        <w:rPr>
          <w:rFonts w:eastAsia="Times New Roman" w:cs="Courier New"/>
        </w:rPr>
        <w:t xml:space="preserve"> </w:t>
      </w:r>
      <w:r w:rsidR="00B23823" w:rsidRPr="00B23823">
        <w:rPr>
          <w:rFonts w:eastAsia="Times New Roman" w:cs="Courier New"/>
        </w:rPr>
        <w:t xml:space="preserve">However, to receive such compensation, each medical condition must, in and of itself, render the airman unfit for duty. </w:t>
      </w:r>
      <w:r w:rsidR="00B23823">
        <w:rPr>
          <w:rFonts w:eastAsia="Times New Roman" w:cs="Courier New"/>
        </w:rPr>
        <w:t xml:space="preserve"> </w:t>
      </w:r>
      <w:r w:rsidR="00B23823" w:rsidRPr="00B23823">
        <w:rPr>
          <w:rFonts w:eastAsia="Times New Roman" w:cs="Courier New"/>
        </w:rPr>
        <w:t xml:space="preserve">Under the </w:t>
      </w:r>
      <w:r w:rsidR="00B23823">
        <w:rPr>
          <w:rFonts w:eastAsia="Times New Roman" w:cs="Courier New"/>
        </w:rPr>
        <w:t>D</w:t>
      </w:r>
      <w:r w:rsidR="00B23823" w:rsidRPr="00B23823">
        <w:rPr>
          <w:rFonts w:eastAsia="Times New Roman" w:cs="Courier New"/>
        </w:rPr>
        <w:t xml:space="preserve">VA system (Title 38, U.S.C), the law provides for compensation for veterans based on the average impairment in earning capacity resulting from all service-connected diseases and/or injuries. </w:t>
      </w:r>
      <w:r w:rsidR="00B23823">
        <w:rPr>
          <w:rFonts w:eastAsia="Times New Roman" w:cs="Courier New"/>
        </w:rPr>
        <w:t xml:space="preserve"> </w:t>
      </w:r>
      <w:r w:rsidR="00B23823" w:rsidRPr="00B23823">
        <w:rPr>
          <w:rFonts w:eastAsia="Times New Roman" w:cs="Courier New"/>
        </w:rPr>
        <w:t xml:space="preserve">Although the two agencies use the same rating schedule, the military only rates those conditions which make an individual unfit for continued military service, while the </w:t>
      </w:r>
      <w:r w:rsidR="00B23823">
        <w:rPr>
          <w:rFonts w:eastAsia="Times New Roman" w:cs="Courier New"/>
        </w:rPr>
        <w:t>D</w:t>
      </w:r>
      <w:r w:rsidR="00B23823" w:rsidRPr="00B23823">
        <w:rPr>
          <w:rFonts w:eastAsia="Times New Roman" w:cs="Courier New"/>
        </w:rPr>
        <w:t xml:space="preserve">VA rates all medical conditions connected to the veteran’s military service. </w:t>
      </w:r>
      <w:r w:rsidR="00B23823">
        <w:rPr>
          <w:rFonts w:eastAsia="Times New Roman" w:cs="Courier New"/>
        </w:rPr>
        <w:t xml:space="preserve"> </w:t>
      </w:r>
      <w:r w:rsidR="00B23823" w:rsidRPr="00B23823">
        <w:rPr>
          <w:rFonts w:eastAsia="Times New Roman" w:cs="Courier New"/>
        </w:rPr>
        <w:t xml:space="preserve">Additionally, the disability provisions of Title 10. U.S.C. require the military services to rate disabilities based on the military member’s current condition at the time of disability processing. </w:t>
      </w:r>
      <w:r w:rsidR="00B23823">
        <w:rPr>
          <w:rFonts w:eastAsia="Times New Roman" w:cs="Courier New"/>
        </w:rPr>
        <w:t xml:space="preserve"> </w:t>
      </w:r>
      <w:r w:rsidR="00B23823" w:rsidRPr="00B23823">
        <w:rPr>
          <w:rFonts w:eastAsia="Times New Roman" w:cs="Courier New"/>
        </w:rPr>
        <w:t xml:space="preserve">The </w:t>
      </w:r>
      <w:r w:rsidR="00B23823">
        <w:rPr>
          <w:rFonts w:eastAsia="Times New Roman" w:cs="Courier New"/>
        </w:rPr>
        <w:t>D</w:t>
      </w:r>
      <w:r w:rsidR="00B23823" w:rsidRPr="00B23823">
        <w:rPr>
          <w:rFonts w:eastAsia="Times New Roman" w:cs="Courier New"/>
        </w:rPr>
        <w:t xml:space="preserve">VA may rate based upon future employability. </w:t>
      </w:r>
      <w:r w:rsidR="00B23823">
        <w:rPr>
          <w:rFonts w:eastAsia="Times New Roman" w:cs="Courier New"/>
        </w:rPr>
        <w:t xml:space="preserve"> This, plus the fact </w:t>
      </w:r>
      <w:r w:rsidR="00B23823" w:rsidRPr="00B23823">
        <w:rPr>
          <w:rFonts w:eastAsia="Times New Roman" w:cs="Courier New"/>
        </w:rPr>
        <w:t xml:space="preserve">the </w:t>
      </w:r>
      <w:r w:rsidR="00B23823">
        <w:rPr>
          <w:rFonts w:eastAsia="Times New Roman" w:cs="Courier New"/>
        </w:rPr>
        <w:t>D</w:t>
      </w:r>
      <w:r w:rsidR="00B23823" w:rsidRPr="00B23823">
        <w:rPr>
          <w:rFonts w:eastAsia="Times New Roman" w:cs="Courier New"/>
        </w:rPr>
        <w:t>VA may perform evaluations at a later time, often results in different ratings by the two agencies.</w:t>
      </w:r>
    </w:p>
    <w:p w:rsidR="00053267" w:rsidRDefault="00053267" w:rsidP="00FE45AF">
      <w:pPr>
        <w:contextualSpacing/>
        <w:jc w:val="both"/>
        <w:rPr>
          <w:rFonts w:eastAsia="Times New Roman" w:cs="Courier New"/>
        </w:rPr>
      </w:pPr>
    </w:p>
    <w:p w:rsidR="0028689D" w:rsidRDefault="00B23823" w:rsidP="005458DD">
      <w:pPr>
        <w:autoSpaceDE w:val="0"/>
        <w:autoSpaceDN w:val="0"/>
        <w:adjustRightInd w:val="0"/>
        <w:jc w:val="both"/>
        <w:rPr>
          <w:rFonts w:eastAsia="Times New Roman" w:cs="Courier New"/>
        </w:rPr>
      </w:pPr>
      <w:r w:rsidRPr="005458DD">
        <w:rPr>
          <w:rFonts w:eastAsia="Times New Roman" w:cs="Courier New"/>
        </w:rPr>
        <w:t>Under the Integrated Disabilit</w:t>
      </w:r>
      <w:r>
        <w:rPr>
          <w:rFonts w:eastAsia="Times New Roman" w:cs="Courier New"/>
        </w:rPr>
        <w:t xml:space="preserve">y Evaluation System (IDES), </w:t>
      </w:r>
      <w:r w:rsidRPr="005458DD">
        <w:rPr>
          <w:rFonts w:eastAsia="Times New Roman" w:cs="Courier New"/>
        </w:rPr>
        <w:t>PEBs must determine which medical condition</w:t>
      </w:r>
      <w:r>
        <w:rPr>
          <w:rFonts w:eastAsia="Times New Roman" w:cs="Courier New"/>
        </w:rPr>
        <w:t>(</w:t>
      </w:r>
      <w:r w:rsidRPr="005458DD">
        <w:rPr>
          <w:rFonts w:eastAsia="Times New Roman" w:cs="Courier New"/>
        </w:rPr>
        <w:t>s</w:t>
      </w:r>
      <w:r>
        <w:rPr>
          <w:rFonts w:eastAsia="Times New Roman" w:cs="Courier New"/>
        </w:rPr>
        <w:t>)</w:t>
      </w:r>
      <w:r w:rsidRPr="005458DD">
        <w:rPr>
          <w:rFonts w:eastAsia="Times New Roman" w:cs="Courier New"/>
        </w:rPr>
        <w:t xml:space="preserve"> claimed by the service member render him/her unfit for</w:t>
      </w:r>
      <w:r>
        <w:rPr>
          <w:rFonts w:eastAsia="Times New Roman" w:cs="Courier New"/>
        </w:rPr>
        <w:t xml:space="preserve"> </w:t>
      </w:r>
      <w:r w:rsidRPr="005458DD">
        <w:rPr>
          <w:rFonts w:eastAsia="Times New Roman" w:cs="Courier New"/>
        </w:rPr>
        <w:t xml:space="preserve">continued military service. </w:t>
      </w:r>
      <w:r>
        <w:rPr>
          <w:rFonts w:eastAsia="Times New Roman" w:cs="Courier New"/>
        </w:rPr>
        <w:t xml:space="preserve"> The fact </w:t>
      </w:r>
      <w:r w:rsidRPr="005458DD">
        <w:rPr>
          <w:rFonts w:eastAsia="Times New Roman" w:cs="Courier New"/>
        </w:rPr>
        <w:t>a service member may have multiple medical conditions</w:t>
      </w:r>
      <w:r>
        <w:rPr>
          <w:rFonts w:eastAsia="Times New Roman" w:cs="Courier New"/>
        </w:rPr>
        <w:t xml:space="preserve"> </w:t>
      </w:r>
      <w:r w:rsidRPr="005458DD">
        <w:rPr>
          <w:rFonts w:eastAsia="Times New Roman" w:cs="Courier New"/>
        </w:rPr>
        <w:t xml:space="preserve">does not mean each condition is unfitting. </w:t>
      </w:r>
      <w:r>
        <w:rPr>
          <w:rFonts w:eastAsia="Times New Roman" w:cs="Courier New"/>
        </w:rPr>
        <w:t xml:space="preserve"> </w:t>
      </w:r>
      <w:r w:rsidRPr="005458DD">
        <w:rPr>
          <w:rFonts w:eastAsia="Times New Roman" w:cs="Courier New"/>
        </w:rPr>
        <w:t>In the applicant’s case, she claimed several medical</w:t>
      </w:r>
      <w:r>
        <w:rPr>
          <w:rFonts w:eastAsia="Times New Roman" w:cs="Courier New"/>
        </w:rPr>
        <w:t xml:space="preserve"> </w:t>
      </w:r>
      <w:r w:rsidRPr="005458DD">
        <w:rPr>
          <w:rFonts w:eastAsia="Times New Roman" w:cs="Courier New"/>
        </w:rPr>
        <w:t xml:space="preserve">conditions, all of which were rated by the </w:t>
      </w:r>
      <w:r>
        <w:rPr>
          <w:rFonts w:eastAsia="Times New Roman" w:cs="Courier New"/>
        </w:rPr>
        <w:t>D</w:t>
      </w:r>
      <w:r w:rsidRPr="005458DD">
        <w:rPr>
          <w:rFonts w:eastAsia="Times New Roman" w:cs="Courier New"/>
        </w:rPr>
        <w:t>VA, but only one condition was determined by the Air</w:t>
      </w:r>
      <w:r>
        <w:rPr>
          <w:rFonts w:eastAsia="Times New Roman" w:cs="Courier New"/>
        </w:rPr>
        <w:t xml:space="preserve"> </w:t>
      </w:r>
      <w:r w:rsidRPr="005458DD">
        <w:rPr>
          <w:rFonts w:eastAsia="Times New Roman" w:cs="Courier New"/>
        </w:rPr>
        <w:t xml:space="preserve">Force to be unfitting. </w:t>
      </w:r>
      <w:r w:rsidR="00053267" w:rsidRPr="005458DD">
        <w:rPr>
          <w:rFonts w:eastAsia="Times New Roman" w:cs="Courier New"/>
        </w:rPr>
        <w:t xml:space="preserve">The Board </w:t>
      </w:r>
      <w:r w:rsidR="00053267">
        <w:rPr>
          <w:rFonts w:eastAsia="Times New Roman" w:cs="Courier New"/>
        </w:rPr>
        <w:t xml:space="preserve">properly </w:t>
      </w:r>
      <w:r w:rsidR="00053267" w:rsidRPr="005458DD">
        <w:rPr>
          <w:rFonts w:eastAsia="Times New Roman" w:cs="Courier New"/>
        </w:rPr>
        <w:t>applied the disability rating of 0</w:t>
      </w:r>
      <w:r w:rsidR="00053267">
        <w:rPr>
          <w:rFonts w:eastAsia="Times New Roman" w:cs="Courier New"/>
        </w:rPr>
        <w:t xml:space="preserve"> percent</w:t>
      </w:r>
      <w:r w:rsidR="00053267" w:rsidRPr="005458DD">
        <w:rPr>
          <w:rFonts w:eastAsia="Times New Roman" w:cs="Courier New"/>
        </w:rPr>
        <w:t xml:space="preserve"> provided by the DVA</w:t>
      </w:r>
      <w:r w:rsidR="00053267">
        <w:rPr>
          <w:rFonts w:eastAsia="Times New Roman" w:cs="Courier New"/>
        </w:rPr>
        <w:t xml:space="preserve"> </w:t>
      </w:r>
      <w:r w:rsidR="00053267" w:rsidRPr="005458DD">
        <w:rPr>
          <w:rFonts w:eastAsia="Times New Roman" w:cs="Courier New"/>
        </w:rPr>
        <w:t xml:space="preserve">for </w:t>
      </w:r>
      <w:r w:rsidR="00053267">
        <w:rPr>
          <w:rFonts w:eastAsia="Times New Roman" w:cs="Courier New"/>
        </w:rPr>
        <w:t>her</w:t>
      </w:r>
      <w:r w:rsidR="00053267" w:rsidRPr="005458DD">
        <w:rPr>
          <w:rFonts w:eastAsia="Times New Roman" w:cs="Courier New"/>
        </w:rPr>
        <w:t xml:space="preserve"> </w:t>
      </w:r>
      <w:r w:rsidR="00D326C0">
        <w:rPr>
          <w:rFonts w:eastAsia="Times New Roman" w:cs="Courier New"/>
        </w:rPr>
        <w:t xml:space="preserve">one unfitting </w:t>
      </w:r>
      <w:r w:rsidR="00053267" w:rsidRPr="005458DD">
        <w:rPr>
          <w:rFonts w:eastAsia="Times New Roman" w:cs="Courier New"/>
        </w:rPr>
        <w:t>condition</w:t>
      </w:r>
      <w:r w:rsidR="00053267">
        <w:rPr>
          <w:rFonts w:eastAsia="Times New Roman" w:cs="Courier New"/>
        </w:rPr>
        <w:t>,</w:t>
      </w:r>
      <w:r w:rsidR="00053267" w:rsidRPr="005458DD">
        <w:rPr>
          <w:rFonts w:eastAsia="Times New Roman" w:cs="Courier New"/>
        </w:rPr>
        <w:t xml:space="preserve"> and recommended discharge with severance pay. </w:t>
      </w:r>
      <w:r w:rsidR="00053267">
        <w:rPr>
          <w:rFonts w:eastAsia="Times New Roman" w:cs="Courier New"/>
        </w:rPr>
        <w:t xml:space="preserve"> </w:t>
      </w:r>
      <w:r w:rsidR="00053267" w:rsidRPr="005458DD">
        <w:rPr>
          <w:rFonts w:eastAsia="Times New Roman" w:cs="Courier New"/>
        </w:rPr>
        <w:t>The applicant concurred with the findings</w:t>
      </w:r>
      <w:r w:rsidR="00053267">
        <w:rPr>
          <w:rFonts w:eastAsia="Times New Roman" w:cs="Courier New"/>
        </w:rPr>
        <w:t xml:space="preserve">.  </w:t>
      </w:r>
      <w:r w:rsidRPr="005458DD">
        <w:rPr>
          <w:rFonts w:eastAsia="Times New Roman" w:cs="Courier New"/>
        </w:rPr>
        <w:t>It should be noted all claimed conditions that could have been unfitting</w:t>
      </w:r>
      <w:r>
        <w:rPr>
          <w:rFonts w:eastAsia="Times New Roman" w:cs="Courier New"/>
        </w:rPr>
        <w:t xml:space="preserve">, </w:t>
      </w:r>
      <w:r w:rsidRPr="005458DD">
        <w:rPr>
          <w:rFonts w:eastAsia="Times New Roman" w:cs="Courier New"/>
        </w:rPr>
        <w:t>but were not at the time of her DES processing</w:t>
      </w:r>
      <w:r>
        <w:rPr>
          <w:rFonts w:eastAsia="Times New Roman" w:cs="Courier New"/>
        </w:rPr>
        <w:t>,</w:t>
      </w:r>
      <w:r w:rsidRPr="005458DD">
        <w:rPr>
          <w:rFonts w:eastAsia="Times New Roman" w:cs="Courier New"/>
        </w:rPr>
        <w:t xml:space="preserve"> were included on the AF Form 356</w:t>
      </w:r>
      <w:r>
        <w:rPr>
          <w:rFonts w:eastAsia="Times New Roman" w:cs="Courier New"/>
        </w:rPr>
        <w:t xml:space="preserve">. </w:t>
      </w:r>
      <w:r w:rsidR="00053267">
        <w:rPr>
          <w:rFonts w:eastAsia="Times New Roman" w:cs="Courier New"/>
        </w:rPr>
        <w:t xml:space="preserve"> </w:t>
      </w:r>
      <w:r>
        <w:rPr>
          <w:rFonts w:eastAsia="Times New Roman" w:cs="Courier New"/>
        </w:rPr>
        <w:t>Additionally, the applicant</w:t>
      </w:r>
      <w:r w:rsidRPr="005458DD">
        <w:rPr>
          <w:rFonts w:eastAsia="Times New Roman" w:cs="Courier New"/>
        </w:rPr>
        <w:t xml:space="preserve"> was briefed on the IPEB recommendation and waived her right to appeal to the Formal PEB and the Secretary of the Air Force </w:t>
      </w:r>
      <w:r w:rsidR="0018172D" w:rsidRPr="005458DD">
        <w:rPr>
          <w:rFonts w:eastAsia="Times New Roman" w:cs="Courier New"/>
        </w:rPr>
        <w:t>Personnel</w:t>
      </w:r>
      <w:r w:rsidRPr="005458DD">
        <w:rPr>
          <w:rFonts w:eastAsia="Times New Roman" w:cs="Courier New"/>
        </w:rPr>
        <w:t xml:space="preserve"> Council (SAFPC)—both options for requesting her other conditions be deemed unfitting.</w:t>
      </w:r>
      <w:r w:rsidR="00FE45AF">
        <w:rPr>
          <w:rFonts w:eastAsia="Times New Roman" w:cs="Courier New"/>
        </w:rPr>
        <w:t xml:space="preserve">  </w:t>
      </w:r>
    </w:p>
    <w:p w:rsidR="00B23823" w:rsidRDefault="00B23823" w:rsidP="005458DD">
      <w:pPr>
        <w:autoSpaceDE w:val="0"/>
        <w:autoSpaceDN w:val="0"/>
        <w:adjustRightInd w:val="0"/>
        <w:jc w:val="both"/>
        <w:rPr>
          <w:rFonts w:eastAsia="Times New Roman" w:cs="Courier New"/>
        </w:rPr>
      </w:pPr>
    </w:p>
    <w:p w:rsidR="00B23823" w:rsidRPr="005458DD" w:rsidRDefault="00FE45AF" w:rsidP="005458DD">
      <w:pPr>
        <w:autoSpaceDE w:val="0"/>
        <w:autoSpaceDN w:val="0"/>
        <w:adjustRightInd w:val="0"/>
        <w:jc w:val="both"/>
        <w:rPr>
          <w:rFonts w:eastAsia="Times New Roman" w:cs="Courier New"/>
        </w:rPr>
      </w:pPr>
      <w:r>
        <w:rPr>
          <w:rFonts w:eastAsia="Times New Roman" w:cs="Courier New"/>
        </w:rPr>
        <w:t>R</w:t>
      </w:r>
      <w:r w:rsidR="00B23823" w:rsidRPr="00B23823">
        <w:rPr>
          <w:rFonts w:eastAsia="Times New Roman" w:cs="Courier New"/>
        </w:rPr>
        <w:t>ecommend denial of the applicant’s request. There is no evidence an error or injustice occurred during the processing of her case through the DES.</w:t>
      </w:r>
    </w:p>
    <w:p w:rsidR="005458DD" w:rsidRPr="005458DD" w:rsidRDefault="005458DD" w:rsidP="005458DD">
      <w:pPr>
        <w:autoSpaceDE w:val="0"/>
        <w:autoSpaceDN w:val="0"/>
        <w:adjustRightInd w:val="0"/>
        <w:jc w:val="both"/>
        <w:rPr>
          <w:rFonts w:eastAsia="Times New Roman" w:cs="Courier New"/>
        </w:rPr>
      </w:pPr>
    </w:p>
    <w:p w:rsidR="0028689D" w:rsidRDefault="0028689D" w:rsidP="00AD0F35">
      <w:pPr>
        <w:contextualSpacing/>
        <w:jc w:val="both"/>
        <w:rPr>
          <w:rFonts w:eastAsia="Times New Roman" w:cs="Courier New"/>
        </w:rPr>
      </w:pPr>
      <w:r w:rsidRPr="00546E95">
        <w:rPr>
          <w:rFonts w:eastAsia="Times New Roman" w:cs="Courier New"/>
        </w:rPr>
        <w:t>A</w:t>
      </w:r>
      <w:r w:rsidR="0097244D">
        <w:rPr>
          <w:rFonts w:eastAsia="Times New Roman" w:cs="Courier New"/>
        </w:rPr>
        <w:t xml:space="preserve"> complete copy of the AFPC/DPFDD</w:t>
      </w:r>
      <w:r w:rsidRPr="00546E95">
        <w:rPr>
          <w:rFonts w:eastAsia="Times New Roman" w:cs="Courier New"/>
        </w:rPr>
        <w:t xml:space="preserve"> evaluation is at Exhibit C.</w:t>
      </w:r>
    </w:p>
    <w:p w:rsidR="00FE45AF" w:rsidRDefault="00FE45AF" w:rsidP="00AD0F35">
      <w:pPr>
        <w:contextualSpacing/>
        <w:jc w:val="both"/>
        <w:rPr>
          <w:rFonts w:eastAsia="Times New Roman" w:cs="Courier New"/>
        </w:rPr>
      </w:pPr>
    </w:p>
    <w:p w:rsidR="00604709" w:rsidRDefault="00FE45AF" w:rsidP="00604709">
      <w:pPr>
        <w:contextualSpacing/>
        <w:jc w:val="both"/>
        <w:rPr>
          <w:rFonts w:eastAsia="Times New Roman" w:cs="Courier New"/>
        </w:rPr>
      </w:pPr>
      <w:r>
        <w:rPr>
          <w:rFonts w:eastAsia="Times New Roman" w:cs="Courier New"/>
        </w:rPr>
        <w:t xml:space="preserve">The BCMR Medical Consultant </w:t>
      </w:r>
      <w:r w:rsidRPr="00546E95">
        <w:rPr>
          <w:rFonts w:eastAsia="Times New Roman" w:cs="Courier New"/>
        </w:rPr>
        <w:t>recommends denial indicating there is no evidence of an error or an injustice.</w:t>
      </w:r>
      <w:r w:rsidR="00604709">
        <w:rPr>
          <w:rFonts w:eastAsia="Times New Roman" w:cs="Courier New"/>
        </w:rPr>
        <w:t xml:space="preserve">  </w:t>
      </w:r>
      <w:r w:rsidR="00604709" w:rsidRPr="00604709">
        <w:rPr>
          <w:rFonts w:eastAsia="Times New Roman" w:cs="Courier New"/>
        </w:rPr>
        <w:t>Operating under a different set of laws (Title 38, U.S.C.), with a different purpose, the DVA is authorized to offer compensation for any medica</w:t>
      </w:r>
      <w:r w:rsidR="00D326C0">
        <w:rPr>
          <w:rFonts w:eastAsia="Times New Roman" w:cs="Courier New"/>
        </w:rPr>
        <w:t>l condition determined service-</w:t>
      </w:r>
      <w:r w:rsidR="00604709" w:rsidRPr="00604709">
        <w:rPr>
          <w:rFonts w:eastAsia="Times New Roman" w:cs="Courier New"/>
        </w:rPr>
        <w:t xml:space="preserve">incurred, without regard to [and independent of] its demonstrated or proven impact upon a service member’s </w:t>
      </w:r>
      <w:proofErr w:type="spellStart"/>
      <w:r w:rsidR="00604709" w:rsidRPr="00604709">
        <w:rPr>
          <w:rFonts w:eastAsia="Times New Roman" w:cs="Courier New"/>
        </w:rPr>
        <w:t>retainability</w:t>
      </w:r>
      <w:proofErr w:type="spellEnd"/>
      <w:r w:rsidR="00604709" w:rsidRPr="00604709">
        <w:rPr>
          <w:rFonts w:eastAsia="Times New Roman" w:cs="Courier New"/>
        </w:rPr>
        <w:t xml:space="preserve"> or fitness to serve.  With this in mind, Title 38, U.S.C., which governs the DVA compensation system, was written to allow awarding compensation ratings for conditions that were not </w:t>
      </w:r>
      <w:r w:rsidR="00604709" w:rsidRPr="00604709">
        <w:rPr>
          <w:rFonts w:eastAsia="Times New Roman" w:cs="Courier New"/>
        </w:rPr>
        <w:lastRenderedPageBreak/>
        <w:t>unfit</w:t>
      </w:r>
      <w:r w:rsidR="00D326C0">
        <w:rPr>
          <w:rFonts w:eastAsia="Times New Roman" w:cs="Courier New"/>
        </w:rPr>
        <w:t xml:space="preserve">ting for military service at </w:t>
      </w:r>
      <w:r w:rsidR="00604709" w:rsidRPr="00604709">
        <w:rPr>
          <w:rFonts w:eastAsia="Times New Roman" w:cs="Courier New"/>
        </w:rPr>
        <w:t xml:space="preserve">the time of separation.  This is the reason why an individual can be found unfit for military service for one reason and yet receive a compensation rating from the DVA </w:t>
      </w:r>
      <w:r w:rsidR="00D326C0">
        <w:rPr>
          <w:rFonts w:eastAsia="Times New Roman" w:cs="Courier New"/>
        </w:rPr>
        <w:t xml:space="preserve">for </w:t>
      </w:r>
      <w:r w:rsidR="00604709" w:rsidRPr="00604709">
        <w:rPr>
          <w:rFonts w:eastAsia="Times New Roman" w:cs="Courier New"/>
        </w:rPr>
        <w:t>one or more medical conditions that were service-connected, but not proven militarily unfitting at the time of release from military service.  The DVA is also empowered to conduct periodic re-evaluations for the purpose of adjusting the disability rating awards (increase or decrease) as the level of impairment from a given service connected medical condition may vary (improve or worsen, affecting future employability) over the lifetime of the veteran.</w:t>
      </w:r>
    </w:p>
    <w:p w:rsidR="006A3FFA" w:rsidRDefault="006A3FFA" w:rsidP="00604709">
      <w:pPr>
        <w:contextualSpacing/>
        <w:jc w:val="both"/>
        <w:rPr>
          <w:rFonts w:eastAsia="Times New Roman" w:cs="Courier New"/>
        </w:rPr>
      </w:pPr>
    </w:p>
    <w:p w:rsidR="006A3FFA" w:rsidRDefault="006A3FFA" w:rsidP="006A3FFA">
      <w:pPr>
        <w:jc w:val="both"/>
        <w:rPr>
          <w:rFonts w:eastAsia="Times New Roman" w:cs="Courier New"/>
        </w:rPr>
      </w:pPr>
      <w:r>
        <w:rPr>
          <w:rFonts w:eastAsia="Times New Roman" w:cs="Courier New"/>
        </w:rPr>
        <w:t xml:space="preserve">On 23 </w:t>
      </w:r>
      <w:r w:rsidRPr="00053267">
        <w:rPr>
          <w:rFonts w:eastAsia="Times New Roman" w:cs="Courier New"/>
        </w:rPr>
        <w:t>May 12, the applicant’s MEB narrative summary [NARSUM]</w:t>
      </w:r>
      <w:r>
        <w:rPr>
          <w:rFonts w:eastAsia="Times New Roman" w:cs="Courier New"/>
        </w:rPr>
        <w:t xml:space="preserve"> includes the following statements from the health provider: “</w:t>
      </w:r>
      <w:r w:rsidRPr="00053267">
        <w:rPr>
          <w:rFonts w:eastAsia="Times New Roman" w:cs="Courier New"/>
        </w:rPr>
        <w:t>“</w:t>
      </w:r>
      <w:proofErr w:type="spellStart"/>
      <w:r>
        <w:rPr>
          <w:rFonts w:eastAsia="Times New Roman" w:cs="Courier New"/>
        </w:rPr>
        <w:t>SrA</w:t>
      </w:r>
      <w:proofErr w:type="spellEnd"/>
      <w:r>
        <w:rPr>
          <w:rFonts w:eastAsia="Times New Roman" w:cs="Courier New"/>
        </w:rPr>
        <w:t> </w:t>
      </w:r>
      <w:r w:rsidRPr="00053267">
        <w:rPr>
          <w:rFonts w:eastAsia="Times New Roman" w:cs="Courier New"/>
        </w:rPr>
        <w:t>Todd has been on Duty and Mobility Restrictions for 325 days in the past 2 years, all stemming f</w:t>
      </w:r>
      <w:r w:rsidR="00D326C0">
        <w:rPr>
          <w:rFonts w:eastAsia="Times New Roman" w:cs="Courier New"/>
        </w:rPr>
        <w:t xml:space="preserve">rom her chronic left flank pain;” </w:t>
      </w:r>
      <w:r w:rsidRPr="00053267">
        <w:rPr>
          <w:rFonts w:eastAsia="Times New Roman" w:cs="Courier New"/>
        </w:rPr>
        <w:t xml:space="preserve">the “pain has prevented her from fulfilling her daily mission </w:t>
      </w:r>
      <w:r w:rsidR="00D326C0">
        <w:rPr>
          <w:rFonts w:eastAsia="Times New Roman" w:cs="Courier New"/>
        </w:rPr>
        <w:t>requirements;</w:t>
      </w:r>
      <w:r w:rsidRPr="00053267">
        <w:rPr>
          <w:rFonts w:eastAsia="Times New Roman" w:cs="Courier New"/>
        </w:rPr>
        <w:t>” and</w:t>
      </w:r>
      <w:r w:rsidR="00D326C0">
        <w:rPr>
          <w:rFonts w:eastAsia="Times New Roman" w:cs="Courier New"/>
        </w:rPr>
        <w:t xml:space="preserve">, </w:t>
      </w:r>
      <w:r w:rsidRPr="00053267">
        <w:rPr>
          <w:rFonts w:eastAsia="Times New Roman" w:cs="Courier New"/>
        </w:rPr>
        <w:t xml:space="preserve">she “reports she is unable to accomplish most aspects of her job.”  Under Past Medical History the provider entered Adjustment Disorder with depressed mood – currently treated with Effexor 150 mg daily and “responding well with depressive and mood symptoms.”  Among diagnostic conclusions, the provider also entered </w:t>
      </w:r>
      <w:r w:rsidRPr="000529F8">
        <w:rPr>
          <w:rFonts w:eastAsia="Times New Roman" w:cs="Courier New"/>
        </w:rPr>
        <w:t>Obesity.</w:t>
      </w:r>
      <w:r w:rsidRPr="00053267">
        <w:rPr>
          <w:rFonts w:eastAsia="Times New Roman" w:cs="Courier New"/>
        </w:rPr>
        <w:t xml:space="preserve">  </w:t>
      </w:r>
    </w:p>
    <w:p w:rsidR="006A3FFA" w:rsidRDefault="006A3FFA" w:rsidP="006A3FFA">
      <w:pPr>
        <w:jc w:val="both"/>
        <w:rPr>
          <w:rFonts w:eastAsia="Times New Roman" w:cs="Courier New"/>
        </w:rPr>
      </w:pPr>
    </w:p>
    <w:p w:rsidR="006A3FFA" w:rsidRPr="00D143BF" w:rsidRDefault="006A3FFA" w:rsidP="006A3FFA">
      <w:pPr>
        <w:jc w:val="both"/>
        <w:rPr>
          <w:rFonts w:eastAsia="Times New Roman" w:cs="Courier New"/>
        </w:rPr>
      </w:pPr>
      <w:r>
        <w:rPr>
          <w:rFonts w:eastAsia="Times New Roman" w:cs="Courier New"/>
        </w:rPr>
        <w:t>A</w:t>
      </w:r>
      <w:r w:rsidRPr="00D143BF">
        <w:rPr>
          <w:rFonts w:eastAsia="Times New Roman" w:cs="Courier New"/>
        </w:rPr>
        <w:t xml:space="preserve">lthough the applicant has been assigned disability compensation for a variety of medical conditions considered service-incurred by the </w:t>
      </w:r>
      <w:r>
        <w:rPr>
          <w:rFonts w:eastAsia="Times New Roman" w:cs="Courier New"/>
        </w:rPr>
        <w:t>DVA</w:t>
      </w:r>
      <w:r w:rsidRPr="00D143BF">
        <w:rPr>
          <w:rFonts w:eastAsia="Times New Roman" w:cs="Courier New"/>
        </w:rPr>
        <w:t>, except for report of pain a patellar dislocations after running a mile or more</w:t>
      </w:r>
      <w:r>
        <w:rPr>
          <w:rFonts w:eastAsia="Times New Roman" w:cs="Courier New"/>
        </w:rPr>
        <w:t xml:space="preserve"> </w:t>
      </w:r>
      <w:r w:rsidR="00D326C0">
        <w:rPr>
          <w:rFonts w:eastAsia="Times New Roman" w:cs="Courier New"/>
        </w:rPr>
        <w:t xml:space="preserve">in </w:t>
      </w:r>
      <w:r>
        <w:rPr>
          <w:rFonts w:eastAsia="Times New Roman" w:cs="Courier New"/>
        </w:rPr>
        <w:t>CY</w:t>
      </w:r>
      <w:r w:rsidRPr="00D143BF">
        <w:rPr>
          <w:rFonts w:eastAsia="Times New Roman" w:cs="Courier New"/>
        </w:rPr>
        <w:t xml:space="preserve">09, there is very minimal service evidence to indicate the applicant’s chondromalacia patella precluded her from reasonably performing the duties of her office, grade, rank, or rating; particularly at the time her MEB and during the year prior to her separation.  </w:t>
      </w:r>
      <w:r>
        <w:rPr>
          <w:rFonts w:eastAsia="Times New Roman" w:cs="Courier New"/>
        </w:rPr>
        <w:t xml:space="preserve">In fact it appears </w:t>
      </w:r>
      <w:r w:rsidRPr="00D143BF">
        <w:rPr>
          <w:rFonts w:eastAsia="Times New Roman" w:cs="Courier New"/>
        </w:rPr>
        <w:t>it was the applicant’s predisposition for shin splints that resulted in restrictions to running; a</w:t>
      </w:r>
      <w:r>
        <w:rPr>
          <w:rFonts w:eastAsia="Times New Roman" w:cs="Courier New"/>
        </w:rPr>
        <w:t xml:space="preserve"> condition which was rated at 0 percent</w:t>
      </w:r>
      <w:r w:rsidRPr="00D143BF">
        <w:rPr>
          <w:rFonts w:eastAsia="Times New Roman" w:cs="Courier New"/>
        </w:rPr>
        <w:t>.  Thus, a preponde</w:t>
      </w:r>
      <w:r>
        <w:rPr>
          <w:rFonts w:eastAsia="Times New Roman" w:cs="Courier New"/>
        </w:rPr>
        <w:t xml:space="preserve">rance of evidence indicates </w:t>
      </w:r>
      <w:r w:rsidRPr="00D143BF">
        <w:rPr>
          <w:rFonts w:eastAsia="Times New Roman" w:cs="Courier New"/>
        </w:rPr>
        <w:t>it was the applicant’s Chronic Pain that resulted in career termination; in lieu of an administrative discharge.  Rea</w:t>
      </w:r>
      <w:r>
        <w:rPr>
          <w:rFonts w:eastAsia="Times New Roman" w:cs="Courier New"/>
        </w:rPr>
        <w:t xml:space="preserve">ching a conclusion </w:t>
      </w:r>
      <w:r w:rsidRPr="00D143BF">
        <w:rPr>
          <w:rFonts w:eastAsia="Times New Roman" w:cs="Courier New"/>
        </w:rPr>
        <w:t xml:space="preserve">the applicant’s chondromalacia patella should have been considered unfitting could not be done without introducing </w:t>
      </w:r>
      <w:r w:rsidRPr="00D143BF">
        <w:rPr>
          <w:rFonts w:eastAsia="Times New Roman" w:cs="Courier New"/>
          <w:i/>
        </w:rPr>
        <w:t>opinion, conjecture or speculation</w:t>
      </w:r>
      <w:r w:rsidRPr="00D143BF">
        <w:rPr>
          <w:rFonts w:eastAsia="Times New Roman" w:cs="Courier New"/>
        </w:rPr>
        <w:t>; notwithstanding the speculation that the Military Department provider(s) may have errantly failed to include bilateral knee pain in the original MEB proceeding.</w:t>
      </w:r>
    </w:p>
    <w:p w:rsidR="006A3FFA" w:rsidRDefault="006A3FFA" w:rsidP="006A3FFA">
      <w:pPr>
        <w:contextualSpacing/>
        <w:jc w:val="both"/>
        <w:rPr>
          <w:rFonts w:eastAsia="Times New Roman" w:cs="Courier New"/>
        </w:rPr>
      </w:pPr>
    </w:p>
    <w:p w:rsidR="006A3FFA" w:rsidRDefault="006A3FFA" w:rsidP="00AD0F35">
      <w:pPr>
        <w:contextualSpacing/>
        <w:jc w:val="both"/>
        <w:rPr>
          <w:rFonts w:eastAsia="Times New Roman" w:cs="Courier New"/>
        </w:rPr>
      </w:pPr>
      <w:r>
        <w:rPr>
          <w:rFonts w:eastAsia="Times New Roman" w:cs="Courier New"/>
        </w:rPr>
        <w:t>T</w:t>
      </w:r>
      <w:r w:rsidR="00BE64D7" w:rsidRPr="00604709">
        <w:rPr>
          <w:rFonts w:eastAsia="Times New Roman" w:cs="Courier New"/>
        </w:rPr>
        <w:t xml:space="preserve">he applicant’s most serious and predominant interactions within the medical community were directed to her urogenital system; specifically, chronic recurrent urinary tract infections, the discovery of an atrophic poorly functioning right kidney, and a large staghorn kidney stone; ultimately requiring a nephrectomy with </w:t>
      </w:r>
      <w:r w:rsidR="0018172D" w:rsidRPr="00604709">
        <w:rPr>
          <w:rFonts w:eastAsia="Times New Roman" w:cs="Courier New"/>
        </w:rPr>
        <w:t>urethrectomy</w:t>
      </w:r>
      <w:r w:rsidR="00BE64D7" w:rsidRPr="00604709">
        <w:rPr>
          <w:rFonts w:eastAsia="Times New Roman" w:cs="Courier New"/>
        </w:rPr>
        <w:t xml:space="preserve"> in</w:t>
      </w:r>
      <w:r w:rsidR="0087615A" w:rsidRPr="00604709">
        <w:rPr>
          <w:rFonts w:eastAsia="Times New Roman" w:cs="Courier New"/>
        </w:rPr>
        <w:t xml:space="preserve"> Feb </w:t>
      </w:r>
      <w:r w:rsidR="00BE64D7" w:rsidRPr="00604709">
        <w:rPr>
          <w:rFonts w:eastAsia="Times New Roman" w:cs="Courier New"/>
        </w:rPr>
        <w:t xml:space="preserve">10.  The residual problem plaguing the applicant, and which required profile restrictions, appears to have been chronic right flank pain.  Concurrently, and preceding the applicant’s urologic problems, she was confronted with failure to achieve a satisfactory level of fitness, beginning in 2007.  At some point, the applicant had received three such failures, making her </w:t>
      </w:r>
      <w:r w:rsidR="00BE64D7" w:rsidRPr="00604709">
        <w:rPr>
          <w:rFonts w:eastAsia="Times New Roman" w:cs="Courier New"/>
        </w:rPr>
        <w:lastRenderedPageBreak/>
        <w:t xml:space="preserve">vulnerable for an administrative discharge, if she received a 4th failure within a 24-month period.  </w:t>
      </w:r>
    </w:p>
    <w:p w:rsidR="006A3FFA" w:rsidRDefault="006A3FFA" w:rsidP="00AD0F35">
      <w:pPr>
        <w:contextualSpacing/>
        <w:jc w:val="both"/>
        <w:rPr>
          <w:rFonts w:eastAsia="Times New Roman" w:cs="Courier New"/>
        </w:rPr>
      </w:pPr>
    </w:p>
    <w:p w:rsidR="0087615A" w:rsidRPr="00604709" w:rsidRDefault="006A3FFA" w:rsidP="00AD0F35">
      <w:pPr>
        <w:contextualSpacing/>
        <w:jc w:val="both"/>
        <w:rPr>
          <w:rFonts w:eastAsia="Times New Roman" w:cs="Courier New"/>
        </w:rPr>
      </w:pPr>
      <w:r>
        <w:rPr>
          <w:rFonts w:eastAsia="Times New Roman" w:cs="Courier New"/>
        </w:rPr>
        <w:t>U</w:t>
      </w:r>
      <w:r w:rsidRPr="00053267">
        <w:rPr>
          <w:rFonts w:eastAsia="Times New Roman" w:cs="Courier New"/>
        </w:rPr>
        <w:t xml:space="preserve">nder IDES, the DVA was the only body, at the time, authorized to assign the disability rating(s). </w:t>
      </w:r>
      <w:r w:rsidR="00BE64D7" w:rsidRPr="00604709">
        <w:rPr>
          <w:rFonts w:eastAsia="Times New Roman" w:cs="Courier New"/>
        </w:rPr>
        <w:t>The DVA ultimately released its disability rating for the applicant’s Chronic Pain at 0 [zero]</w:t>
      </w:r>
      <w:r w:rsidR="00604709">
        <w:rPr>
          <w:rFonts w:eastAsia="Times New Roman" w:cs="Courier New"/>
        </w:rPr>
        <w:t xml:space="preserve"> percent</w:t>
      </w:r>
      <w:r w:rsidR="00BE64D7" w:rsidRPr="00604709">
        <w:rPr>
          <w:rFonts w:eastAsia="Times New Roman" w:cs="Courier New"/>
        </w:rPr>
        <w:t>, but also issued disability ratings for additional medical conditions determined service-incurred.  It is these ratings for conditions not considered in the applicant’s original MEB, nor her PEB determination, that fuels the current appeal.</w:t>
      </w:r>
      <w:r w:rsidR="00604709">
        <w:rPr>
          <w:rFonts w:eastAsia="Times New Roman" w:cs="Courier New"/>
        </w:rPr>
        <w:t xml:space="preserve">  </w:t>
      </w:r>
      <w:r w:rsidR="0087615A" w:rsidRPr="00604709">
        <w:rPr>
          <w:rFonts w:eastAsia="Times New Roman" w:cs="Courier New"/>
        </w:rPr>
        <w:t>While it may appear counterintuitive that a colle</w:t>
      </w:r>
      <w:r w:rsidR="00D326C0">
        <w:rPr>
          <w:rFonts w:eastAsia="Times New Roman" w:cs="Courier New"/>
        </w:rPr>
        <w:t>ction of conditions rated at 80 </w:t>
      </w:r>
      <w:r w:rsidR="0087615A" w:rsidRPr="00604709">
        <w:rPr>
          <w:rFonts w:eastAsia="Times New Roman" w:cs="Courier New"/>
        </w:rPr>
        <w:t xml:space="preserve">percent, effective the day after leaving military service, would not have included additional unfitting conditions, the Medical Consultant found insufficient objective service evidence that established, or should have established, a cause and effect relationship between the termination </w:t>
      </w:r>
      <w:r w:rsidR="00D326C0">
        <w:rPr>
          <w:rFonts w:eastAsia="Times New Roman" w:cs="Courier New"/>
        </w:rPr>
        <w:t xml:space="preserve">of </w:t>
      </w:r>
      <w:r w:rsidR="0087615A" w:rsidRPr="00604709">
        <w:rPr>
          <w:rFonts w:eastAsia="Times New Roman" w:cs="Courier New"/>
        </w:rPr>
        <w:t>the applicant’s service and any condition except her Chronic Right Flank Pain; except for the applicant’s mental disorder, that requires further exploration.</w:t>
      </w:r>
    </w:p>
    <w:p w:rsidR="000675DC" w:rsidRDefault="000675DC" w:rsidP="000675DC">
      <w:pPr>
        <w:contextualSpacing/>
        <w:jc w:val="both"/>
        <w:rPr>
          <w:rFonts w:eastAsia="Times New Roman" w:cs="Courier New"/>
        </w:rPr>
      </w:pPr>
    </w:p>
    <w:p w:rsidR="0087615A" w:rsidRDefault="0087615A" w:rsidP="00AD0F35">
      <w:pPr>
        <w:contextualSpacing/>
        <w:jc w:val="both"/>
        <w:rPr>
          <w:rFonts w:eastAsia="Times New Roman" w:cs="Courier New"/>
        </w:rPr>
      </w:pPr>
      <w:r w:rsidRPr="00604709">
        <w:rPr>
          <w:rFonts w:eastAsia="Times New Roman" w:cs="Courier New"/>
        </w:rPr>
        <w:t>The Medical Consultant recommends denial of the applicant’s petition to include additional medical conditions in her military disability rating computation; dependent upon the findings of the Mental Health Consultant.</w:t>
      </w:r>
    </w:p>
    <w:p w:rsidR="00FE45AF" w:rsidRDefault="00FE45AF" w:rsidP="00AD0F35">
      <w:pPr>
        <w:contextualSpacing/>
        <w:jc w:val="both"/>
        <w:rPr>
          <w:rFonts w:eastAsia="Times New Roman" w:cs="Courier New"/>
        </w:rPr>
      </w:pPr>
    </w:p>
    <w:p w:rsidR="00FE45AF" w:rsidRDefault="00FE45AF" w:rsidP="00FE45AF">
      <w:pPr>
        <w:contextualSpacing/>
        <w:jc w:val="both"/>
        <w:rPr>
          <w:rFonts w:eastAsia="Times New Roman" w:cs="Courier New"/>
        </w:rPr>
      </w:pPr>
      <w:r w:rsidRPr="00546E95">
        <w:rPr>
          <w:rFonts w:eastAsia="Times New Roman" w:cs="Courier New"/>
        </w:rPr>
        <w:t>A</w:t>
      </w:r>
      <w:r>
        <w:rPr>
          <w:rFonts w:eastAsia="Times New Roman" w:cs="Courier New"/>
        </w:rPr>
        <w:t xml:space="preserve"> complete copy of the BCMR Medical Consultant evaluation is at Exhibit E</w:t>
      </w:r>
      <w:r w:rsidRPr="00546E95">
        <w:rPr>
          <w:rFonts w:eastAsia="Times New Roman" w:cs="Courier New"/>
        </w:rPr>
        <w:t>.</w:t>
      </w:r>
    </w:p>
    <w:p w:rsidR="00FE45AF" w:rsidRDefault="00FE45AF" w:rsidP="00FE45AF">
      <w:pPr>
        <w:contextualSpacing/>
        <w:jc w:val="both"/>
        <w:rPr>
          <w:rFonts w:eastAsia="Times New Roman" w:cs="Courier New"/>
        </w:rPr>
      </w:pPr>
    </w:p>
    <w:p w:rsidR="001A2CF5" w:rsidRDefault="00FE45AF" w:rsidP="00201799">
      <w:pPr>
        <w:contextualSpacing/>
        <w:jc w:val="both"/>
        <w:rPr>
          <w:rFonts w:eastAsia="Times New Roman" w:cs="Courier New"/>
        </w:rPr>
      </w:pPr>
      <w:r>
        <w:rPr>
          <w:rFonts w:eastAsia="Times New Roman" w:cs="Courier New"/>
        </w:rPr>
        <w:t>The BCMR Mental Health Consultant</w:t>
      </w:r>
      <w:r w:rsidRPr="00546E95">
        <w:rPr>
          <w:rFonts w:eastAsia="Times New Roman" w:cs="Courier New"/>
        </w:rPr>
        <w:t xml:space="preserve"> recommends denial indicating there is no evidence of an error or an injustice.</w:t>
      </w:r>
      <w:r w:rsidR="001A2CF5">
        <w:rPr>
          <w:rFonts w:eastAsia="Times New Roman" w:cs="Courier New"/>
        </w:rPr>
        <w:t xml:space="preserve">  </w:t>
      </w:r>
      <w:r w:rsidR="00E44D9E">
        <w:rPr>
          <w:rFonts w:eastAsia="Times New Roman" w:cs="Courier New"/>
        </w:rPr>
        <w:t>DOD</w:t>
      </w:r>
      <w:r w:rsidR="001A2CF5" w:rsidRPr="001A2CF5">
        <w:rPr>
          <w:rFonts w:eastAsia="Times New Roman" w:cs="Courier New"/>
        </w:rPr>
        <w:t>I</w:t>
      </w:r>
      <w:r w:rsidR="00E44D9E">
        <w:rPr>
          <w:rFonts w:eastAsia="Times New Roman" w:cs="Courier New"/>
        </w:rPr>
        <w:t xml:space="preserve"> </w:t>
      </w:r>
      <w:r w:rsidR="001A2CF5" w:rsidRPr="001A2CF5">
        <w:rPr>
          <w:rFonts w:eastAsia="Times New Roman" w:cs="Courier New"/>
        </w:rPr>
        <w:t>6130.03</w:t>
      </w:r>
      <w:r w:rsidR="00201799">
        <w:rPr>
          <w:rFonts w:eastAsia="Times New Roman" w:cs="Courier New"/>
        </w:rPr>
        <w:t>,</w:t>
      </w:r>
      <w:r w:rsidR="001A2CF5" w:rsidRPr="001A2CF5">
        <w:rPr>
          <w:rFonts w:eastAsia="Times New Roman" w:cs="Courier New"/>
        </w:rPr>
        <w:t xml:space="preserve"> </w:t>
      </w:r>
      <w:r w:rsidR="00201799" w:rsidRPr="00201799">
        <w:rPr>
          <w:rFonts w:eastAsia="Times New Roman" w:cs="Courier New"/>
          <w:i/>
        </w:rPr>
        <w:t>Medical Standards for Appointment, Enlistment, or Induction in the Military Services</w:t>
      </w:r>
      <w:r w:rsidR="00201799">
        <w:rPr>
          <w:rFonts w:eastAsia="Times New Roman" w:cs="Courier New"/>
          <w:i/>
        </w:rPr>
        <w:t>,</w:t>
      </w:r>
      <w:r w:rsidR="00201799" w:rsidRPr="001A2CF5">
        <w:rPr>
          <w:rFonts w:eastAsia="Times New Roman" w:cs="Courier New"/>
        </w:rPr>
        <w:t xml:space="preserve"> </w:t>
      </w:r>
      <w:r w:rsidR="001A2CF5" w:rsidRPr="001A2CF5">
        <w:rPr>
          <w:rFonts w:eastAsia="Times New Roman" w:cs="Courier New"/>
        </w:rPr>
        <w:t xml:space="preserve">dated </w:t>
      </w:r>
      <w:r w:rsidR="00201799">
        <w:rPr>
          <w:rFonts w:eastAsia="Times New Roman" w:cs="Courier New"/>
        </w:rPr>
        <w:t xml:space="preserve">28 Apr </w:t>
      </w:r>
      <w:r w:rsidR="001A2CF5" w:rsidRPr="001A2CF5">
        <w:rPr>
          <w:rFonts w:eastAsia="Times New Roman" w:cs="Courier New"/>
        </w:rPr>
        <w:t>10</w:t>
      </w:r>
      <w:r w:rsidR="00201799">
        <w:rPr>
          <w:rFonts w:eastAsia="Times New Roman" w:cs="Courier New"/>
        </w:rPr>
        <w:t>,</w:t>
      </w:r>
      <w:r w:rsidR="001A2CF5" w:rsidRPr="001A2CF5">
        <w:rPr>
          <w:rFonts w:eastAsia="Times New Roman" w:cs="Courier New"/>
        </w:rPr>
        <w:t xml:space="preserve"> was established to eliminate inconsistencies and inequities based on race, sex, or location of examination. </w:t>
      </w:r>
      <w:r w:rsidR="00201799">
        <w:rPr>
          <w:rFonts w:eastAsia="Times New Roman" w:cs="Courier New"/>
        </w:rPr>
        <w:t xml:space="preserve"> </w:t>
      </w:r>
      <w:r w:rsidR="001A2CF5" w:rsidRPr="001A2CF5">
        <w:rPr>
          <w:rFonts w:eastAsia="Times New Roman" w:cs="Courier New"/>
        </w:rPr>
        <w:t xml:space="preserve">It is intended </w:t>
      </w:r>
      <w:r w:rsidR="00201799">
        <w:rPr>
          <w:rFonts w:eastAsia="Times New Roman" w:cs="Courier New"/>
        </w:rPr>
        <w:t xml:space="preserve">to ensure </w:t>
      </w:r>
      <w:r w:rsidR="001A2CF5" w:rsidRPr="001A2CF5">
        <w:rPr>
          <w:rFonts w:eastAsia="Times New Roman" w:cs="Courier New"/>
        </w:rPr>
        <w:t>individuals under consideration for appointment, enlistment or induction into the Military Services are both free of contagious diseases and are free of medical conditions or physical defects that may require excessive time lost from duty for necessary treatment or hospitalization, or probably will result in separation from the Service for medical unfitness.</w:t>
      </w:r>
      <w:r w:rsidR="001A2CF5">
        <w:rPr>
          <w:rFonts w:eastAsia="Times New Roman" w:cs="Courier New"/>
        </w:rPr>
        <w:t xml:space="preserve">  </w:t>
      </w:r>
      <w:r w:rsidR="00201799">
        <w:rPr>
          <w:rFonts w:eastAsia="Times New Roman" w:cs="Courier New"/>
        </w:rPr>
        <w:t xml:space="preserve">This </w:t>
      </w:r>
      <w:r w:rsidR="001A2CF5" w:rsidRPr="001A2CF5">
        <w:rPr>
          <w:rFonts w:eastAsia="Times New Roman" w:cs="Courier New"/>
        </w:rPr>
        <w:t xml:space="preserve">includes denial of admission to the military </w:t>
      </w:r>
      <w:r w:rsidR="00201799">
        <w:rPr>
          <w:rFonts w:eastAsia="Times New Roman" w:cs="Courier New"/>
        </w:rPr>
        <w:t xml:space="preserve">if </w:t>
      </w:r>
      <w:r w:rsidR="001A2CF5" w:rsidRPr="001A2CF5">
        <w:rPr>
          <w:rFonts w:eastAsia="Times New Roman" w:cs="Courier New"/>
        </w:rPr>
        <w:t>there is a current or history of alcohol dependence, drug dependence, alcohol abuse, or other drug abuse.</w:t>
      </w:r>
    </w:p>
    <w:p w:rsidR="001A2CF5" w:rsidRDefault="001A2CF5" w:rsidP="001A2CF5">
      <w:pPr>
        <w:autoSpaceDE w:val="0"/>
        <w:autoSpaceDN w:val="0"/>
        <w:adjustRightInd w:val="0"/>
        <w:jc w:val="both"/>
        <w:rPr>
          <w:rFonts w:eastAsia="Times New Roman" w:cs="Courier New"/>
        </w:rPr>
      </w:pPr>
    </w:p>
    <w:p w:rsidR="00DF0141" w:rsidRDefault="00DF0141" w:rsidP="00DF0141">
      <w:pPr>
        <w:autoSpaceDE w:val="0"/>
        <w:autoSpaceDN w:val="0"/>
        <w:adjustRightInd w:val="0"/>
        <w:jc w:val="both"/>
        <w:rPr>
          <w:rFonts w:eastAsia="Times New Roman" w:cs="Courier New"/>
        </w:rPr>
      </w:pPr>
      <w:r w:rsidRPr="00DF0141">
        <w:rPr>
          <w:rFonts w:eastAsia="Times New Roman" w:cs="Courier New"/>
        </w:rPr>
        <w:t xml:space="preserve">On 11 Apr 12, </w:t>
      </w:r>
      <w:r>
        <w:rPr>
          <w:rFonts w:eastAsia="Times New Roman" w:cs="Courier New"/>
        </w:rPr>
        <w:t>during</w:t>
      </w:r>
      <w:r w:rsidRPr="00DF0141">
        <w:rPr>
          <w:rFonts w:eastAsia="Times New Roman" w:cs="Courier New"/>
        </w:rPr>
        <w:t xml:space="preserve"> an interview with a clinical psychologist, the applicant reported her </w:t>
      </w:r>
      <w:r w:rsidR="000529F8">
        <w:rPr>
          <w:rFonts w:eastAsia="Times New Roman" w:cs="Courier New"/>
        </w:rPr>
        <w:t>g</w:t>
      </w:r>
      <w:r w:rsidRPr="00DF0141">
        <w:rPr>
          <w:rFonts w:eastAsia="Times New Roman" w:cs="Courier New"/>
        </w:rPr>
        <w:t>randmother was diagnosed</w:t>
      </w:r>
      <w:r>
        <w:rPr>
          <w:rFonts w:eastAsia="Times New Roman" w:cs="Courier New"/>
        </w:rPr>
        <w:t xml:space="preserve"> with Bipolar Disorder and </w:t>
      </w:r>
      <w:r w:rsidRPr="00DF0141">
        <w:rPr>
          <w:rFonts w:eastAsia="Times New Roman" w:cs="Courier New"/>
        </w:rPr>
        <w:t xml:space="preserve">her </w:t>
      </w:r>
      <w:r w:rsidR="000529F8">
        <w:rPr>
          <w:rFonts w:eastAsia="Times New Roman" w:cs="Courier New"/>
        </w:rPr>
        <w:t>m</w:t>
      </w:r>
      <w:r w:rsidRPr="00DF0141">
        <w:rPr>
          <w:rFonts w:eastAsia="Times New Roman" w:cs="Courier New"/>
        </w:rPr>
        <w:t>other was on some psychiatric medication.   She gave a substance abuse history which included drinking as a freshman in high school while in</w:t>
      </w:r>
      <w:r>
        <w:rPr>
          <w:rFonts w:eastAsia="Times New Roman" w:cs="Courier New"/>
        </w:rPr>
        <w:t xml:space="preserve"> </w:t>
      </w:r>
      <w:r w:rsidRPr="00DF0141">
        <w:rPr>
          <w:rFonts w:eastAsia="Times New Roman" w:cs="Courier New"/>
        </w:rPr>
        <w:t xml:space="preserve">Germany and then using drugs by 10th grade. She reported smoking </w:t>
      </w:r>
      <w:r w:rsidR="000529F8">
        <w:rPr>
          <w:rFonts w:eastAsia="Times New Roman" w:cs="Courier New"/>
        </w:rPr>
        <w:t>m</w:t>
      </w:r>
      <w:r w:rsidRPr="00DF0141">
        <w:rPr>
          <w:rFonts w:eastAsia="Times New Roman" w:cs="Courier New"/>
        </w:rPr>
        <w:t>arijuana and some</w:t>
      </w:r>
      <w:r>
        <w:rPr>
          <w:rFonts w:eastAsia="Times New Roman" w:cs="Courier New"/>
        </w:rPr>
        <w:t xml:space="preserve"> </w:t>
      </w:r>
      <w:r w:rsidRPr="00DF0141">
        <w:rPr>
          <w:rFonts w:eastAsia="Times New Roman" w:cs="Courier New"/>
        </w:rPr>
        <w:t xml:space="preserve">use of acid on the weekend for a few months. </w:t>
      </w:r>
      <w:r>
        <w:rPr>
          <w:rFonts w:eastAsia="Times New Roman" w:cs="Courier New"/>
        </w:rPr>
        <w:t xml:space="preserve"> She reported </w:t>
      </w:r>
      <w:r w:rsidRPr="00DF0141">
        <w:rPr>
          <w:rFonts w:eastAsia="Times New Roman" w:cs="Courier New"/>
        </w:rPr>
        <w:t>she stopped all drugs by</w:t>
      </w:r>
      <w:r>
        <w:rPr>
          <w:rFonts w:eastAsia="Times New Roman" w:cs="Courier New"/>
        </w:rPr>
        <w:t xml:space="preserve"> </w:t>
      </w:r>
      <w:r w:rsidRPr="00DF0141">
        <w:rPr>
          <w:rFonts w:eastAsia="Times New Roman" w:cs="Courier New"/>
        </w:rPr>
        <w:t>the time she was 19 years of age, but continued to drink up to two bottles of wine on</w:t>
      </w:r>
      <w:r>
        <w:rPr>
          <w:rFonts w:eastAsia="Times New Roman" w:cs="Courier New"/>
        </w:rPr>
        <w:t xml:space="preserve"> </w:t>
      </w:r>
      <w:r w:rsidRPr="00DF0141">
        <w:rPr>
          <w:rFonts w:eastAsia="Times New Roman" w:cs="Courier New"/>
        </w:rPr>
        <w:t xml:space="preserve">weekends. </w:t>
      </w:r>
      <w:r>
        <w:rPr>
          <w:rFonts w:eastAsia="Times New Roman" w:cs="Courier New"/>
        </w:rPr>
        <w:t xml:space="preserve"> She reported </w:t>
      </w:r>
      <w:r w:rsidRPr="00DF0141">
        <w:rPr>
          <w:rFonts w:eastAsia="Times New Roman" w:cs="Courier New"/>
        </w:rPr>
        <w:t>she stopped all alcohol by the time she was 21 years of</w:t>
      </w:r>
      <w:r>
        <w:rPr>
          <w:rFonts w:eastAsia="Times New Roman" w:cs="Courier New"/>
        </w:rPr>
        <w:t xml:space="preserve"> </w:t>
      </w:r>
      <w:r w:rsidRPr="00DF0141">
        <w:rPr>
          <w:rFonts w:eastAsia="Times New Roman" w:cs="Courier New"/>
        </w:rPr>
        <w:t xml:space="preserve">age. </w:t>
      </w:r>
      <w:r>
        <w:rPr>
          <w:rFonts w:eastAsia="Times New Roman" w:cs="Courier New"/>
        </w:rPr>
        <w:t xml:space="preserve"> </w:t>
      </w:r>
      <w:r w:rsidRPr="00DF0141">
        <w:rPr>
          <w:rFonts w:eastAsia="Times New Roman" w:cs="Courier New"/>
        </w:rPr>
        <w:t>She reported that</w:t>
      </w:r>
      <w:r>
        <w:rPr>
          <w:rFonts w:eastAsia="Times New Roman" w:cs="Courier New"/>
        </w:rPr>
        <w:t xml:space="preserve"> “</w:t>
      </w:r>
      <w:r w:rsidRPr="00DF0141">
        <w:rPr>
          <w:rFonts w:eastAsia="Times New Roman" w:cs="Courier New"/>
        </w:rPr>
        <w:t xml:space="preserve">it was not fun anymore.” </w:t>
      </w:r>
      <w:r>
        <w:rPr>
          <w:rFonts w:eastAsia="Times New Roman" w:cs="Courier New"/>
        </w:rPr>
        <w:t xml:space="preserve"> </w:t>
      </w:r>
      <w:r w:rsidRPr="00DF0141">
        <w:rPr>
          <w:rFonts w:eastAsia="Times New Roman" w:cs="Courier New"/>
        </w:rPr>
        <w:t xml:space="preserve">The applicant </w:t>
      </w:r>
      <w:r>
        <w:rPr>
          <w:rFonts w:eastAsia="Times New Roman" w:cs="Courier New"/>
        </w:rPr>
        <w:t xml:space="preserve">also </w:t>
      </w:r>
      <w:r w:rsidRPr="00DF0141">
        <w:rPr>
          <w:rFonts w:eastAsia="Times New Roman" w:cs="Courier New"/>
        </w:rPr>
        <w:t>reported serious physical abuse</w:t>
      </w:r>
      <w:r>
        <w:rPr>
          <w:rFonts w:eastAsia="Times New Roman" w:cs="Courier New"/>
        </w:rPr>
        <w:t xml:space="preserve"> </w:t>
      </w:r>
      <w:r w:rsidRPr="00DF0141">
        <w:rPr>
          <w:rFonts w:eastAsia="Times New Roman" w:cs="Courier New"/>
        </w:rPr>
        <w:t xml:space="preserve">at the hands of her mother. </w:t>
      </w:r>
      <w:r>
        <w:rPr>
          <w:rFonts w:eastAsia="Times New Roman" w:cs="Courier New"/>
        </w:rPr>
        <w:t xml:space="preserve"> She notes </w:t>
      </w:r>
      <w:r w:rsidRPr="00DF0141">
        <w:rPr>
          <w:rFonts w:eastAsia="Times New Roman" w:cs="Courier New"/>
        </w:rPr>
        <w:t xml:space="preserve">her depression started in 2008 </w:t>
      </w:r>
      <w:r w:rsidRPr="00DF0141">
        <w:rPr>
          <w:rFonts w:eastAsia="Times New Roman" w:cs="Courier New"/>
        </w:rPr>
        <w:lastRenderedPageBreak/>
        <w:t>and she would sit in</w:t>
      </w:r>
      <w:r>
        <w:rPr>
          <w:rFonts w:eastAsia="Times New Roman" w:cs="Courier New"/>
        </w:rPr>
        <w:t xml:space="preserve"> </w:t>
      </w:r>
      <w:r w:rsidRPr="00DF0141">
        <w:rPr>
          <w:rFonts w:eastAsia="Times New Roman" w:cs="Courier New"/>
        </w:rPr>
        <w:t>her room and take sleeping pills after work. She did this for about six months and then met a</w:t>
      </w:r>
      <w:r>
        <w:rPr>
          <w:rFonts w:eastAsia="Times New Roman" w:cs="Courier New"/>
        </w:rPr>
        <w:t xml:space="preserve"> </w:t>
      </w:r>
      <w:r w:rsidRPr="00DF0141">
        <w:rPr>
          <w:rFonts w:eastAsia="Times New Roman" w:cs="Courier New"/>
        </w:rPr>
        <w:t>boyfrie</w:t>
      </w:r>
      <w:r w:rsidR="001741EF">
        <w:rPr>
          <w:rFonts w:eastAsia="Times New Roman" w:cs="Courier New"/>
        </w:rPr>
        <w:t xml:space="preserve">nd and felt better and then </w:t>
      </w:r>
      <w:r w:rsidRPr="00DF0141">
        <w:rPr>
          <w:rFonts w:eastAsia="Times New Roman" w:cs="Courier New"/>
        </w:rPr>
        <w:t>moved to England and her symptoms came back.</w:t>
      </w:r>
    </w:p>
    <w:p w:rsidR="00201799" w:rsidRDefault="00201799" w:rsidP="00DF0141">
      <w:pPr>
        <w:autoSpaceDE w:val="0"/>
        <w:autoSpaceDN w:val="0"/>
        <w:adjustRightInd w:val="0"/>
        <w:jc w:val="both"/>
        <w:rPr>
          <w:rFonts w:eastAsia="Times New Roman" w:cs="Courier New"/>
        </w:rPr>
      </w:pPr>
    </w:p>
    <w:p w:rsidR="00201799" w:rsidRDefault="00201799" w:rsidP="00201799">
      <w:pPr>
        <w:autoSpaceDE w:val="0"/>
        <w:autoSpaceDN w:val="0"/>
        <w:adjustRightInd w:val="0"/>
        <w:jc w:val="both"/>
        <w:rPr>
          <w:rFonts w:eastAsia="Times New Roman" w:cs="Courier New"/>
        </w:rPr>
      </w:pPr>
      <w:r>
        <w:rPr>
          <w:rFonts w:eastAsia="Times New Roman" w:cs="Courier New"/>
        </w:rPr>
        <w:t>It is very clear the</w:t>
      </w:r>
      <w:r w:rsidRPr="001A2CF5">
        <w:rPr>
          <w:rFonts w:eastAsia="Times New Roman" w:cs="Courier New"/>
        </w:rPr>
        <w:t xml:space="preserve"> applicant’s experience in the military was quite traumatic. It was complicated by multiple physical and emotional complications.</w:t>
      </w:r>
      <w:r>
        <w:rPr>
          <w:rFonts w:eastAsia="Times New Roman" w:cs="Courier New"/>
        </w:rPr>
        <w:t xml:space="preserve">  However, she </w:t>
      </w:r>
      <w:r w:rsidRPr="001A2CF5">
        <w:rPr>
          <w:rFonts w:eastAsia="Times New Roman" w:cs="Courier New"/>
        </w:rPr>
        <w:t>had a pre-existing or prior to admission to military history of drug/alcohol</w:t>
      </w:r>
      <w:r>
        <w:rPr>
          <w:rFonts w:eastAsia="Times New Roman" w:cs="Courier New"/>
        </w:rPr>
        <w:t xml:space="preserve"> </w:t>
      </w:r>
      <w:r w:rsidRPr="001A2CF5">
        <w:rPr>
          <w:rFonts w:eastAsia="Times New Roman" w:cs="Courier New"/>
        </w:rPr>
        <w:t>use/experimentation.</w:t>
      </w:r>
      <w:r>
        <w:rPr>
          <w:rFonts w:eastAsia="Times New Roman" w:cs="Courier New"/>
        </w:rPr>
        <w:t xml:space="preserve">  </w:t>
      </w:r>
      <w:r w:rsidRPr="00201799">
        <w:rPr>
          <w:rFonts w:eastAsia="Times New Roman" w:cs="Courier New"/>
        </w:rPr>
        <w:t xml:space="preserve">Furthermore her family and individual mental health conditions were not reported as well. If she had reported all of these issues and if this history was excused/allowed, then it would have most certainly been a consideration in her discharge. However, this did not preclude the applicant’s DVA compensation, because the DVA operates under a different set of laws, Title 38, U.S.C., which empowers the DVA to offer compensation for any medical condition with an established nexus with military service. </w:t>
      </w:r>
      <w:r w:rsidR="001741EF">
        <w:rPr>
          <w:rFonts w:eastAsia="Times New Roman" w:cs="Courier New"/>
        </w:rPr>
        <w:t>T</w:t>
      </w:r>
      <w:r w:rsidRPr="00201799">
        <w:rPr>
          <w:rFonts w:eastAsia="Times New Roman" w:cs="Courier New"/>
        </w:rPr>
        <w:t>he evidence is insufficient to warrant the desired change of the record.</w:t>
      </w:r>
      <w:r w:rsidR="001741EF">
        <w:rPr>
          <w:rFonts w:eastAsia="Times New Roman" w:cs="Courier New"/>
        </w:rPr>
        <w:t xml:space="preserve">  Recommend denial. </w:t>
      </w:r>
    </w:p>
    <w:p w:rsidR="00FE45AF" w:rsidRDefault="00FE45AF" w:rsidP="00DF0141">
      <w:pPr>
        <w:contextualSpacing/>
        <w:jc w:val="both"/>
        <w:rPr>
          <w:rFonts w:eastAsia="Times New Roman" w:cs="Courier New"/>
        </w:rPr>
      </w:pPr>
    </w:p>
    <w:p w:rsidR="00FE45AF" w:rsidRDefault="00FE45AF" w:rsidP="00FE45AF">
      <w:pPr>
        <w:contextualSpacing/>
        <w:jc w:val="both"/>
        <w:rPr>
          <w:rFonts w:eastAsia="Times New Roman" w:cs="Courier New"/>
        </w:rPr>
      </w:pPr>
      <w:r w:rsidRPr="00546E95">
        <w:rPr>
          <w:rFonts w:eastAsia="Times New Roman" w:cs="Courier New"/>
        </w:rPr>
        <w:t>A</w:t>
      </w:r>
      <w:r>
        <w:rPr>
          <w:rFonts w:eastAsia="Times New Roman" w:cs="Courier New"/>
        </w:rPr>
        <w:t xml:space="preserve"> complete copy of the BCMR Mental Health Consultant evaluation is at Exhibit F</w:t>
      </w:r>
      <w:r w:rsidRPr="00546E95">
        <w:rPr>
          <w:rFonts w:eastAsia="Times New Roman" w:cs="Courier New"/>
        </w:rPr>
        <w:t>.</w:t>
      </w:r>
    </w:p>
    <w:p w:rsidR="0028689D" w:rsidRPr="00546E95" w:rsidRDefault="0028689D" w:rsidP="00AD0F35">
      <w:pPr>
        <w:pBdr>
          <w:bottom w:val="single" w:sz="6" w:space="1" w:color="auto"/>
        </w:pBdr>
        <w:contextualSpacing/>
        <w:jc w:val="both"/>
        <w:rPr>
          <w:rFonts w:eastAsia="Times New Roman" w:cs="Courier New"/>
        </w:rPr>
      </w:pPr>
    </w:p>
    <w:p w:rsidR="0028689D" w:rsidRPr="00546E95" w:rsidRDefault="0028689D" w:rsidP="00AD0F35">
      <w:pPr>
        <w:contextualSpacing/>
        <w:jc w:val="both"/>
        <w:rPr>
          <w:rFonts w:eastAsia="Times New Roman" w:cs="Courier New"/>
          <w:u w:val="single"/>
        </w:rPr>
      </w:pPr>
    </w:p>
    <w:p w:rsidR="0028689D" w:rsidRPr="00546E95" w:rsidRDefault="0028689D" w:rsidP="00AD0F35">
      <w:pPr>
        <w:contextualSpacing/>
        <w:jc w:val="both"/>
        <w:rPr>
          <w:rFonts w:eastAsia="Times New Roman" w:cs="Courier New"/>
        </w:rPr>
      </w:pPr>
      <w:r w:rsidRPr="00546E95">
        <w:rPr>
          <w:rFonts w:eastAsia="Times New Roman" w:cs="Courier New"/>
          <w:u w:val="single"/>
        </w:rPr>
        <w:t>APPLICANT'S REVIEW OF AIR FORCE EVALUATION</w:t>
      </w:r>
      <w:r w:rsidR="00972892">
        <w:rPr>
          <w:rFonts w:eastAsia="Times New Roman" w:cs="Courier New"/>
          <w:u w:val="single"/>
        </w:rPr>
        <w:t>S</w:t>
      </w:r>
      <w:r w:rsidRPr="00546E95">
        <w:rPr>
          <w:rFonts w:eastAsia="Times New Roman" w:cs="Courier New"/>
        </w:rPr>
        <w:t>:</w:t>
      </w:r>
    </w:p>
    <w:p w:rsidR="0028689D" w:rsidRPr="00546E95" w:rsidRDefault="0028689D" w:rsidP="00AD0F35">
      <w:pPr>
        <w:contextualSpacing/>
        <w:jc w:val="both"/>
        <w:rPr>
          <w:rFonts w:eastAsia="Times New Roman" w:cs="Courier New"/>
        </w:rPr>
      </w:pPr>
    </w:p>
    <w:p w:rsidR="0028689D" w:rsidRPr="00546E95" w:rsidRDefault="0097244D" w:rsidP="00AD0F35">
      <w:pPr>
        <w:contextualSpacing/>
        <w:jc w:val="both"/>
        <w:rPr>
          <w:rFonts w:eastAsia="Times New Roman" w:cs="Courier New"/>
        </w:rPr>
      </w:pPr>
      <w:r>
        <w:rPr>
          <w:rFonts w:eastAsia="Times New Roman" w:cs="Courier New"/>
        </w:rPr>
        <w:t>A copy of the Air Force evaluation was</w:t>
      </w:r>
      <w:r w:rsidR="0028689D" w:rsidRPr="00546E95">
        <w:rPr>
          <w:rFonts w:eastAsia="Times New Roman" w:cs="Courier New"/>
        </w:rPr>
        <w:t xml:space="preserve"> forwarded to the applicant on </w:t>
      </w:r>
      <w:r>
        <w:rPr>
          <w:rFonts w:eastAsia="Times New Roman" w:cs="Courier New"/>
        </w:rPr>
        <w:t>2 May 16</w:t>
      </w:r>
      <w:r w:rsidR="0028689D" w:rsidRPr="00546E95">
        <w:rPr>
          <w:rFonts w:eastAsia="Times New Roman" w:cs="Courier New"/>
        </w:rPr>
        <w:t xml:space="preserve"> for review and comment within 30 days (Exhibit D).  As of this date, no response has been received by this office.</w:t>
      </w:r>
    </w:p>
    <w:p w:rsidR="0028689D" w:rsidRPr="00546E95" w:rsidRDefault="0028689D" w:rsidP="00AD0F35">
      <w:pPr>
        <w:pBdr>
          <w:bottom w:val="single" w:sz="6" w:space="1" w:color="auto"/>
        </w:pBdr>
        <w:contextualSpacing/>
        <w:jc w:val="both"/>
        <w:rPr>
          <w:rFonts w:eastAsia="Times New Roman" w:cs="Courier New"/>
        </w:rPr>
      </w:pPr>
    </w:p>
    <w:p w:rsidR="0028689D" w:rsidRPr="00546E95" w:rsidRDefault="0028689D" w:rsidP="00AD0F35">
      <w:pPr>
        <w:contextualSpacing/>
        <w:rPr>
          <w:rFonts w:eastAsia="Times New Roman" w:cs="Courier New"/>
          <w:u w:val="single"/>
        </w:rPr>
      </w:pPr>
    </w:p>
    <w:p w:rsidR="0028689D" w:rsidRPr="00546E95" w:rsidRDefault="0097244D" w:rsidP="00AD0F35">
      <w:pPr>
        <w:contextualSpacing/>
        <w:jc w:val="both"/>
        <w:rPr>
          <w:rFonts w:eastAsia="Times New Roman" w:cs="Courier New"/>
        </w:rPr>
      </w:pPr>
      <w:r>
        <w:rPr>
          <w:rFonts w:eastAsia="Times New Roman" w:cs="Courier New"/>
          <w:u w:val="single"/>
        </w:rPr>
        <w:t>THE BOARD CONCLUDES</w:t>
      </w:r>
      <w:r w:rsidR="0028689D" w:rsidRPr="00546E95">
        <w:rPr>
          <w:rFonts w:eastAsia="Times New Roman" w:cs="Courier New"/>
        </w:rPr>
        <w:t>:</w:t>
      </w:r>
    </w:p>
    <w:p w:rsidR="0028689D" w:rsidRPr="00546E95" w:rsidRDefault="0028689D" w:rsidP="00AD0F35">
      <w:pPr>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rPr>
        <w:t>1.  The applicant has exhausted all remedies provided by existing law or regulations.</w:t>
      </w:r>
      <w:r w:rsidR="001D157B">
        <w:rPr>
          <w:rFonts w:eastAsia="Times New Roman" w:cs="Courier New"/>
        </w:rPr>
        <w:t xml:space="preserve"> </w:t>
      </w:r>
    </w:p>
    <w:p w:rsidR="0028689D" w:rsidRPr="00546E95" w:rsidRDefault="0028689D" w:rsidP="00AD0F35">
      <w:pPr>
        <w:contextualSpacing/>
        <w:jc w:val="both"/>
        <w:rPr>
          <w:rFonts w:eastAsia="Times New Roman" w:cs="Courier New"/>
        </w:rPr>
      </w:pPr>
    </w:p>
    <w:p w:rsidR="0028689D" w:rsidRPr="0001140C" w:rsidRDefault="0028689D" w:rsidP="00213B5E">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rsidR="0028689D" w:rsidRPr="00546E95" w:rsidRDefault="0028689D">
      <w:pPr>
        <w:contextualSpacing/>
        <w:jc w:val="both"/>
        <w:rPr>
          <w:rFonts w:eastAsia="Calibri" w:cs="Courier New"/>
          <w:u w:val="single"/>
        </w:rPr>
      </w:pPr>
    </w:p>
    <w:p w:rsidR="0028689D" w:rsidRPr="00546E95" w:rsidRDefault="0028689D" w:rsidP="00AD0F35">
      <w:pPr>
        <w:contextualSpacing/>
        <w:jc w:val="both"/>
        <w:rPr>
          <w:rFonts w:eastAsia="Calibri" w:cs="Courier New"/>
        </w:rPr>
      </w:pPr>
      <w:r w:rsidRPr="00546E95">
        <w:rPr>
          <w:rFonts w:eastAsia="Calibri" w:cs="Courier New"/>
        </w:rPr>
        <w:t>3.  Insufficient relevant evidence has been presented to demonstrate the existence of an error or injustice.  We took notice of the applicant’s complete submission in judging the merits of the case</w:t>
      </w:r>
      <w:r w:rsidR="0018172D">
        <w:rPr>
          <w:rFonts w:eastAsia="Calibri" w:cs="Courier New"/>
        </w:rPr>
        <w:t xml:space="preserve"> and </w:t>
      </w:r>
      <w:r w:rsidRPr="00546E95">
        <w:rPr>
          <w:rFonts w:eastAsia="Calibri" w:cs="Courier New"/>
        </w:rPr>
        <w:t>agree with the opinion</w:t>
      </w:r>
      <w:r w:rsidR="00414DCC">
        <w:rPr>
          <w:rFonts w:eastAsia="Calibri" w:cs="Courier New"/>
        </w:rPr>
        <w:t>s</w:t>
      </w:r>
      <w:r w:rsidRPr="00546E95">
        <w:rPr>
          <w:rFonts w:eastAsia="Calibri" w:cs="Courier New"/>
        </w:rPr>
        <w:t xml:space="preserve"> and recommendation</w:t>
      </w:r>
      <w:r w:rsidR="00414DCC">
        <w:rPr>
          <w:rFonts w:eastAsia="Calibri" w:cs="Courier New"/>
        </w:rPr>
        <w:t>s</w:t>
      </w:r>
      <w:r w:rsidRPr="00546E95">
        <w:rPr>
          <w:rFonts w:eastAsia="Calibri" w:cs="Courier New"/>
        </w:rPr>
        <w:t xml:space="preserve"> of the Air Force office of primary responsibility (OPR</w:t>
      </w:r>
      <w:r w:rsidR="00414DCC">
        <w:rPr>
          <w:rFonts w:eastAsia="Calibri" w:cs="Courier New"/>
        </w:rPr>
        <w:t xml:space="preserve">) and </w:t>
      </w:r>
      <w:r w:rsidR="0018172D">
        <w:rPr>
          <w:rFonts w:eastAsia="Calibri" w:cs="Courier New"/>
        </w:rPr>
        <w:t>the BCMR’s Medical Consultants and a</w:t>
      </w:r>
      <w:r w:rsidR="00414DCC">
        <w:rPr>
          <w:rFonts w:eastAsia="Calibri" w:cs="Courier New"/>
        </w:rPr>
        <w:t>dopt the</w:t>
      </w:r>
      <w:r w:rsidRPr="00546E95">
        <w:rPr>
          <w:rFonts w:eastAsia="Calibri" w:cs="Courier New"/>
        </w:rPr>
        <w:t xml:space="preserve"> rationale </w:t>
      </w:r>
      <w:r w:rsidR="0018172D">
        <w:rPr>
          <w:rFonts w:eastAsia="Calibri" w:cs="Courier New"/>
        </w:rPr>
        <w:t xml:space="preserve">expressed </w:t>
      </w:r>
      <w:r w:rsidRPr="00546E95">
        <w:rPr>
          <w:rFonts w:eastAsia="Calibri" w:cs="Courier New"/>
        </w:rPr>
        <w:t xml:space="preserve">as the basis for our conclusion the applicant has </w:t>
      </w:r>
      <w:r w:rsidR="0018172D">
        <w:rPr>
          <w:rFonts w:eastAsia="Calibri" w:cs="Courier New"/>
        </w:rPr>
        <w:t xml:space="preserve">failed to sustain her burden of proof that she has </w:t>
      </w:r>
      <w:r w:rsidRPr="00546E95">
        <w:rPr>
          <w:rFonts w:eastAsia="Calibri" w:cs="Courier New"/>
        </w:rPr>
        <w:t xml:space="preserve">been the victim of an error of injustice.  </w:t>
      </w:r>
      <w:r w:rsidR="0018172D">
        <w:rPr>
          <w:rFonts w:eastAsia="Calibri" w:cs="Courier New"/>
        </w:rPr>
        <w:t xml:space="preserve">In </w:t>
      </w:r>
      <w:r w:rsidRPr="00546E95">
        <w:rPr>
          <w:rFonts w:eastAsia="Calibri" w:cs="Courier New"/>
        </w:rPr>
        <w:t>the absence of evidence to the contrary, we find no basis to recommend granting the requested relief.</w:t>
      </w:r>
    </w:p>
    <w:p w:rsidR="0028689D" w:rsidRPr="00546E95" w:rsidRDefault="0028689D" w:rsidP="00AD0F35">
      <w:pPr>
        <w:pBdr>
          <w:bottom w:val="single" w:sz="6" w:space="1" w:color="auto"/>
        </w:pBdr>
        <w:contextualSpacing/>
        <w:jc w:val="both"/>
        <w:rPr>
          <w:rFonts w:eastAsia="Calibri" w:cs="Courier New"/>
        </w:rPr>
      </w:pPr>
    </w:p>
    <w:p w:rsidR="0028689D" w:rsidRPr="00546E95" w:rsidRDefault="0028689D" w:rsidP="00AD0F35">
      <w:pPr>
        <w:contextualSpacing/>
        <w:jc w:val="both"/>
        <w:rPr>
          <w:rFonts w:eastAsia="Times New Roman" w:cs="Courier New"/>
          <w:u w:val="single"/>
        </w:rPr>
      </w:pPr>
    </w:p>
    <w:p w:rsidR="00414DCC" w:rsidRDefault="00414DCC" w:rsidP="00AD0F35">
      <w:pPr>
        <w:contextualSpacing/>
        <w:jc w:val="both"/>
        <w:rPr>
          <w:rFonts w:eastAsia="Times New Roman" w:cs="Courier New"/>
          <w:u w:val="single"/>
        </w:rPr>
      </w:pPr>
    </w:p>
    <w:p w:rsidR="00414DCC" w:rsidRDefault="00414DCC" w:rsidP="00AD0F35">
      <w:pPr>
        <w:contextualSpacing/>
        <w:jc w:val="both"/>
        <w:rPr>
          <w:rFonts w:eastAsia="Times New Roman" w:cs="Courier New"/>
          <w:u w:val="single"/>
        </w:rPr>
      </w:pPr>
    </w:p>
    <w:p w:rsidR="00C36306" w:rsidRDefault="00C36306" w:rsidP="00AD0F35">
      <w:pPr>
        <w:contextualSpacing/>
        <w:jc w:val="both"/>
        <w:rPr>
          <w:rFonts w:eastAsia="Times New Roman" w:cs="Courier New"/>
          <w:u w:val="single"/>
        </w:rPr>
      </w:pPr>
    </w:p>
    <w:p w:rsidR="00C36306" w:rsidRDefault="00C36306" w:rsidP="00AD0F35">
      <w:pPr>
        <w:contextualSpacing/>
        <w:jc w:val="both"/>
        <w:rPr>
          <w:rFonts w:eastAsia="Times New Roman" w:cs="Courier New"/>
          <w:u w:val="single"/>
        </w:rPr>
      </w:pPr>
    </w:p>
    <w:p w:rsidR="0028689D" w:rsidRPr="00546E95" w:rsidRDefault="00BF7A3B" w:rsidP="00AD0F35">
      <w:pPr>
        <w:contextualSpacing/>
        <w:jc w:val="both"/>
        <w:rPr>
          <w:rFonts w:eastAsia="Times New Roman" w:cs="Courier New"/>
        </w:rPr>
      </w:pPr>
      <w:r>
        <w:rPr>
          <w:rFonts w:eastAsia="Times New Roman" w:cs="Courier New"/>
          <w:u w:val="single"/>
        </w:rPr>
        <w:lastRenderedPageBreak/>
        <w:t>THE BOARD DETERMINES</w:t>
      </w:r>
      <w:r w:rsidR="0028689D" w:rsidRPr="00546E95">
        <w:rPr>
          <w:rFonts w:eastAsia="Times New Roman" w:cs="Courier New"/>
        </w:rPr>
        <w:t>:</w:t>
      </w:r>
    </w:p>
    <w:p w:rsidR="0028689D" w:rsidRPr="00546E95" w:rsidRDefault="0028689D" w:rsidP="00AD0F35">
      <w:pPr>
        <w:contextualSpacing/>
        <w:jc w:val="both"/>
        <w:rPr>
          <w:rFonts w:eastAsia="Times New Roman" w:cs="Courier New"/>
        </w:rPr>
      </w:pPr>
    </w:p>
    <w:p w:rsidR="0028689D" w:rsidRPr="00546E95" w:rsidRDefault="0028689D" w:rsidP="00DB7014">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28689D" w:rsidRPr="00546E95" w:rsidRDefault="0028689D" w:rsidP="00AD0F35">
      <w:pPr>
        <w:pBdr>
          <w:bottom w:val="single" w:sz="6" w:space="1" w:color="auto"/>
        </w:pBdr>
        <w:contextualSpacing/>
        <w:jc w:val="both"/>
        <w:rPr>
          <w:rFonts w:eastAsia="Times New Roman" w:cs="Courier New"/>
          <w:u w:val="single"/>
        </w:rPr>
      </w:pPr>
    </w:p>
    <w:p w:rsidR="0028689D" w:rsidRPr="00546E95" w:rsidRDefault="0028689D" w:rsidP="00AD0F35">
      <w:pPr>
        <w:contextualSpacing/>
        <w:rPr>
          <w:rFonts w:eastAsia="Times New Roman" w:cs="Courier New"/>
        </w:rPr>
      </w:pPr>
    </w:p>
    <w:p w:rsidR="0028689D" w:rsidRPr="00546E95" w:rsidRDefault="0028689D" w:rsidP="00AD0F35">
      <w:pPr>
        <w:contextualSpacing/>
        <w:jc w:val="both"/>
        <w:rPr>
          <w:rFonts w:cs="Courier New"/>
          <w:bCs/>
        </w:rPr>
      </w:pPr>
      <w:r w:rsidRPr="00546E95">
        <w:rPr>
          <w:rFonts w:eastAsia="Times New Roman" w:cs="Courier New"/>
        </w:rPr>
        <w:t xml:space="preserve">The following members of the Board considered AFBCMR Docket Number </w:t>
      </w:r>
      <w:r w:rsidRPr="009968CF">
        <w:rPr>
          <w:rFonts w:cs="Courier New"/>
          <w:bCs/>
          <w:noProof/>
        </w:rPr>
        <w:t>BC-2015-04922</w:t>
      </w:r>
      <w:r w:rsidRPr="00546E95">
        <w:rPr>
          <w:rFonts w:cs="Courier New"/>
        </w:rPr>
        <w:t xml:space="preserve"> </w:t>
      </w:r>
      <w:r w:rsidRPr="00546E95">
        <w:rPr>
          <w:rFonts w:eastAsia="Times New Roman" w:cs="Courier New"/>
        </w:rPr>
        <w:t xml:space="preserve">in Executive Session on </w:t>
      </w:r>
      <w:r w:rsidR="0018172D">
        <w:rPr>
          <w:rFonts w:eastAsia="Times New Roman" w:cs="Courier New"/>
        </w:rPr>
        <w:t>12</w:t>
      </w:r>
      <w:r w:rsidR="00F01575">
        <w:rPr>
          <w:rFonts w:eastAsia="Times New Roman" w:cs="Courier New"/>
        </w:rPr>
        <w:t xml:space="preserve"> Mar 18</w:t>
      </w:r>
      <w:r w:rsidRPr="00546E95">
        <w:rPr>
          <w:rFonts w:cs="Courier New"/>
          <w:bCs/>
        </w:rPr>
        <w:t xml:space="preserve"> </w:t>
      </w:r>
      <w:r w:rsidRPr="00546E95">
        <w:rPr>
          <w:rFonts w:eastAsia="Times New Roman" w:cs="Courier New"/>
        </w:rPr>
        <w:t>under the provisions of AFI 36-2603:</w:t>
      </w:r>
    </w:p>
    <w:p w:rsidR="00F01575" w:rsidRDefault="00F01575" w:rsidP="00F01575">
      <w:pPr>
        <w:ind w:right="-90"/>
        <w:contextualSpacing/>
        <w:jc w:val="both"/>
        <w:rPr>
          <w:rFonts w:eastAsia="Times New Roman" w:cs="Courier New"/>
        </w:rPr>
      </w:pPr>
    </w:p>
    <w:p w:rsidR="00F01575" w:rsidRDefault="00F01575" w:rsidP="00F01575">
      <w:pPr>
        <w:ind w:right="-90"/>
        <w:contextualSpacing/>
        <w:jc w:val="both"/>
        <w:rPr>
          <w:rFonts w:cs="Courier New"/>
        </w:rPr>
      </w:pPr>
      <w:r>
        <w:rPr>
          <w:rFonts w:cs="Courier New"/>
        </w:rPr>
        <w:tab/>
        <w:t>Panel Chair</w:t>
      </w:r>
    </w:p>
    <w:p w:rsidR="00F01575" w:rsidRDefault="00F01575" w:rsidP="00F01575">
      <w:pPr>
        <w:ind w:right="-90"/>
        <w:contextualSpacing/>
        <w:jc w:val="both"/>
        <w:rPr>
          <w:rFonts w:cs="Courier New"/>
        </w:rPr>
      </w:pPr>
      <w:r>
        <w:rPr>
          <w:rFonts w:cs="Courier New"/>
        </w:rPr>
        <w:tab/>
        <w:t>Member</w:t>
      </w:r>
    </w:p>
    <w:p w:rsidR="00F01575" w:rsidRDefault="00F01575" w:rsidP="00F01575">
      <w:pPr>
        <w:ind w:right="-90"/>
        <w:contextualSpacing/>
        <w:jc w:val="both"/>
        <w:rPr>
          <w:rFonts w:cs="Courier New"/>
        </w:rPr>
      </w:pPr>
      <w:r>
        <w:rPr>
          <w:rFonts w:cs="Courier New"/>
        </w:rPr>
        <w:tab/>
        <w:t>Member</w:t>
      </w:r>
    </w:p>
    <w:p w:rsidR="0028689D" w:rsidRPr="00546E95" w:rsidRDefault="0028689D" w:rsidP="00213B5E">
      <w:pPr>
        <w:ind w:left="2430" w:hanging="2430"/>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rPr>
        <w:t>The following documentary evidence was considered:</w:t>
      </w:r>
    </w:p>
    <w:p w:rsidR="0028689D" w:rsidRPr="00546E95" w:rsidRDefault="0028689D" w:rsidP="00AD0F35">
      <w:pPr>
        <w:contextualSpacing/>
        <w:jc w:val="both"/>
        <w:rPr>
          <w:rFonts w:eastAsia="Times New Roman" w:cs="Courier New"/>
        </w:rPr>
      </w:pPr>
    </w:p>
    <w:p w:rsidR="0028689D" w:rsidRPr="00546E95" w:rsidRDefault="0028689D" w:rsidP="00AD0F35">
      <w:pPr>
        <w:contextualSpacing/>
        <w:jc w:val="both"/>
        <w:rPr>
          <w:rFonts w:eastAsia="Times New Roman" w:cs="Courier New"/>
        </w:rPr>
      </w:pPr>
      <w:r w:rsidRPr="00546E95">
        <w:rPr>
          <w:rFonts w:eastAsia="Times New Roman" w:cs="Courier New"/>
        </w:rPr>
        <w:tab/>
        <w:t xml:space="preserve">Exhibit A.  DD Form 149, dated </w:t>
      </w:r>
      <w:r w:rsidR="00BF7A3B">
        <w:rPr>
          <w:rFonts w:eastAsia="Times New Roman" w:cs="Courier New"/>
        </w:rPr>
        <w:t>12 Nov 15</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rsidR="0028689D" w:rsidRPr="00546E95" w:rsidRDefault="0028689D" w:rsidP="00AD0F35">
      <w:pPr>
        <w:contextualSpacing/>
        <w:jc w:val="both"/>
        <w:rPr>
          <w:rFonts w:eastAsia="Times New Roman" w:cs="Courier New"/>
        </w:rPr>
      </w:pPr>
      <w:r w:rsidRPr="00546E95">
        <w:rPr>
          <w:rFonts w:eastAsia="Times New Roman" w:cs="Courier New"/>
        </w:rPr>
        <w:tab/>
        <w:t>Exhibit B.  Applicant's Master Personnel Records.</w:t>
      </w:r>
    </w:p>
    <w:p w:rsidR="0028689D" w:rsidRPr="00546E95" w:rsidRDefault="0028689D" w:rsidP="00AD0F35">
      <w:pPr>
        <w:contextualSpacing/>
        <w:jc w:val="both"/>
        <w:rPr>
          <w:rFonts w:eastAsia="Times New Roman" w:cs="Courier New"/>
        </w:rPr>
      </w:pPr>
      <w:r w:rsidRPr="00546E95">
        <w:rPr>
          <w:rFonts w:eastAsia="Times New Roman" w:cs="Courier New"/>
        </w:rPr>
        <w:tab/>
        <w:t>Exhibit C.  Memorandum, AFPC/D</w:t>
      </w:r>
      <w:r w:rsidR="00BF7A3B">
        <w:rPr>
          <w:rFonts w:eastAsia="Times New Roman" w:cs="Courier New"/>
        </w:rPr>
        <w:t>PFDD, dated 23 Feb 16</w:t>
      </w:r>
      <w:r w:rsidRPr="00546E95">
        <w:rPr>
          <w:rFonts w:eastAsia="Times New Roman" w:cs="Courier New"/>
        </w:rPr>
        <w:t>.</w:t>
      </w:r>
    </w:p>
    <w:p w:rsidR="0028689D" w:rsidRDefault="0028689D" w:rsidP="00AD0F35">
      <w:pPr>
        <w:contextualSpacing/>
        <w:jc w:val="both"/>
        <w:rPr>
          <w:rFonts w:eastAsia="Times New Roman" w:cs="Courier New"/>
        </w:rPr>
      </w:pPr>
      <w:r>
        <w:rPr>
          <w:rFonts w:eastAsia="Times New Roman" w:cs="Courier New"/>
        </w:rPr>
        <w:tab/>
      </w:r>
      <w:r w:rsidRPr="00546E95">
        <w:rPr>
          <w:rFonts w:eastAsia="Times New Roman" w:cs="Courier New"/>
        </w:rPr>
        <w:t>Exhibit D.  L</w:t>
      </w:r>
      <w:r w:rsidR="00BF7A3B">
        <w:rPr>
          <w:rFonts w:eastAsia="Times New Roman" w:cs="Courier New"/>
        </w:rPr>
        <w:t>etter, SAF/MRBR, dated 2 May 16</w:t>
      </w:r>
      <w:r w:rsidRPr="00546E95">
        <w:rPr>
          <w:rFonts w:eastAsia="Times New Roman" w:cs="Courier New"/>
        </w:rPr>
        <w:t>.</w:t>
      </w:r>
    </w:p>
    <w:p w:rsidR="00FE45AF" w:rsidRDefault="00213B5E" w:rsidP="00213B5E">
      <w:pPr>
        <w:ind w:left="2430" w:hanging="1710"/>
        <w:contextualSpacing/>
        <w:jc w:val="both"/>
        <w:rPr>
          <w:rFonts w:eastAsia="Times New Roman" w:cs="Courier New"/>
        </w:rPr>
      </w:pPr>
      <w:r>
        <w:rPr>
          <w:rFonts w:eastAsia="Times New Roman" w:cs="Courier New"/>
        </w:rPr>
        <w:t>Exhibit </w:t>
      </w:r>
      <w:r w:rsidR="00FE45AF">
        <w:rPr>
          <w:rFonts w:eastAsia="Times New Roman" w:cs="Courier New"/>
        </w:rPr>
        <w:t>E.  </w:t>
      </w:r>
      <w:r>
        <w:rPr>
          <w:rFonts w:eastAsia="Times New Roman" w:cs="Courier New"/>
        </w:rPr>
        <w:t>Memorandum, BCMR Medical Consultant, dated 6 Oct 16.</w:t>
      </w:r>
    </w:p>
    <w:p w:rsidR="00FE45AF" w:rsidRDefault="00213B5E" w:rsidP="00213B5E">
      <w:pPr>
        <w:ind w:left="2430" w:hanging="1710"/>
        <w:contextualSpacing/>
        <w:jc w:val="both"/>
        <w:rPr>
          <w:rFonts w:eastAsia="Times New Roman" w:cs="Courier New"/>
        </w:rPr>
      </w:pPr>
      <w:r>
        <w:rPr>
          <w:rFonts w:eastAsia="Times New Roman" w:cs="Courier New"/>
        </w:rPr>
        <w:t>Exhibit </w:t>
      </w:r>
      <w:r w:rsidR="00FE45AF">
        <w:rPr>
          <w:rFonts w:eastAsia="Times New Roman" w:cs="Courier New"/>
        </w:rPr>
        <w:t>F.  </w:t>
      </w:r>
      <w:r>
        <w:rPr>
          <w:rFonts w:eastAsia="Times New Roman" w:cs="Courier New"/>
        </w:rPr>
        <w:t>Memorandum, BCMR Menta</w:t>
      </w:r>
      <w:r w:rsidR="00414DCC">
        <w:rPr>
          <w:rFonts w:eastAsia="Times New Roman" w:cs="Courier New"/>
        </w:rPr>
        <w:t>l Health Consultant, dated 6 Jun 17</w:t>
      </w:r>
      <w:r>
        <w:rPr>
          <w:rFonts w:eastAsia="Times New Roman" w:cs="Courier New"/>
        </w:rPr>
        <w:t>.</w:t>
      </w:r>
    </w:p>
    <w:p w:rsidR="00FE45AF" w:rsidRDefault="00FE45AF" w:rsidP="00AD0F35">
      <w:pPr>
        <w:contextualSpacing/>
        <w:jc w:val="both"/>
        <w:rPr>
          <w:rFonts w:eastAsia="Times New Roman" w:cs="Courier New"/>
        </w:rPr>
      </w:pPr>
      <w:r>
        <w:rPr>
          <w:rFonts w:eastAsia="Times New Roman" w:cs="Courier New"/>
        </w:rPr>
        <w:tab/>
        <w:t>Exhibit G.  </w:t>
      </w:r>
      <w:r w:rsidR="00213B5E" w:rsidRPr="00546E95">
        <w:rPr>
          <w:rFonts w:eastAsia="Times New Roman" w:cs="Courier New"/>
        </w:rPr>
        <w:t>L</w:t>
      </w:r>
      <w:r w:rsidR="00213B5E">
        <w:rPr>
          <w:rFonts w:eastAsia="Times New Roman" w:cs="Courier New"/>
        </w:rPr>
        <w:t>etter, SAF/MRBR, dated 7 Nov 17</w:t>
      </w:r>
      <w:r w:rsidR="00213B5E" w:rsidRPr="00546E95">
        <w:rPr>
          <w:rFonts w:eastAsia="Times New Roman" w:cs="Courier New"/>
        </w:rPr>
        <w:t>.</w:t>
      </w:r>
    </w:p>
    <w:p w:rsidR="00FE45AF" w:rsidRDefault="00FE45AF" w:rsidP="00AD0F35">
      <w:pPr>
        <w:contextualSpacing/>
        <w:jc w:val="both"/>
        <w:rPr>
          <w:rFonts w:eastAsia="Times New Roman" w:cs="Courier New"/>
        </w:rPr>
      </w:pPr>
    </w:p>
    <w:p w:rsidR="00FE45AF" w:rsidRPr="00546E95" w:rsidRDefault="00FE45AF" w:rsidP="00AD0F35">
      <w:pPr>
        <w:contextualSpacing/>
        <w:jc w:val="both"/>
        <w:rPr>
          <w:rFonts w:eastAsia="Times New Roman" w:cs="Courier New"/>
        </w:rPr>
      </w:pPr>
      <w:r w:rsidRPr="00453493">
        <w:rPr>
          <w:rFonts w:eastAsia="Times New Roman" w:cs="Courier New"/>
        </w:rPr>
        <w:t>Pursuant to paragraph 1 of AFI 36-2603 (Title 32 Code of Federal Regulations, Pa</w:t>
      </w:r>
      <w:r>
        <w:rPr>
          <w:rFonts w:eastAsia="Times New Roman" w:cs="Courier New"/>
        </w:rPr>
        <w:t xml:space="preserve">rt 865.1), it is certified </w:t>
      </w:r>
      <w:r w:rsidRPr="00453493">
        <w:rPr>
          <w:rFonts w:eastAsia="Times New Roman" w:cs="Courier New"/>
        </w:rPr>
        <w:t>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rsidR="0028689D" w:rsidRPr="00546E95" w:rsidRDefault="0028689D" w:rsidP="00FE45AF">
      <w:pPr>
        <w:rPr>
          <w:rFonts w:cs="Courier New"/>
        </w:rPr>
      </w:pPr>
    </w:p>
    <w:sectPr w:rsidR="0028689D" w:rsidRPr="00546E95" w:rsidSect="0028689D">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E8F" w:rsidRDefault="00543E8F" w:rsidP="00562002">
      <w:pPr>
        <w:spacing w:line="240" w:lineRule="auto"/>
      </w:pPr>
      <w:r>
        <w:separator/>
      </w:r>
    </w:p>
  </w:endnote>
  <w:endnote w:type="continuationSeparator" w:id="0">
    <w:p w:rsidR="00543E8F" w:rsidRDefault="00543E8F"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D2" w:rsidRDefault="00AC5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AC56D2" w:rsidRDefault="00C56DD8" w:rsidP="00AC5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D2" w:rsidRDefault="00AC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E8F" w:rsidRDefault="00543E8F" w:rsidP="00562002">
      <w:pPr>
        <w:spacing w:line="240" w:lineRule="auto"/>
      </w:pPr>
      <w:r>
        <w:separator/>
      </w:r>
    </w:p>
  </w:footnote>
  <w:footnote w:type="continuationSeparator" w:id="0">
    <w:p w:rsidR="00543E8F" w:rsidRDefault="00543E8F"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D2" w:rsidRDefault="00AC5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6D2" w:rsidRDefault="00AC5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529F8"/>
    <w:rsid w:val="00053267"/>
    <w:rsid w:val="00064C10"/>
    <w:rsid w:val="000675DC"/>
    <w:rsid w:val="00090567"/>
    <w:rsid w:val="000B2396"/>
    <w:rsid w:val="000B4799"/>
    <w:rsid w:val="000C2CA3"/>
    <w:rsid w:val="000D5C0C"/>
    <w:rsid w:val="00100DA0"/>
    <w:rsid w:val="0011108A"/>
    <w:rsid w:val="00166688"/>
    <w:rsid w:val="001741EF"/>
    <w:rsid w:val="0018172D"/>
    <w:rsid w:val="001A2CF5"/>
    <w:rsid w:val="001D157B"/>
    <w:rsid w:val="001F6F87"/>
    <w:rsid w:val="00201799"/>
    <w:rsid w:val="00212038"/>
    <w:rsid w:val="00213405"/>
    <w:rsid w:val="00213B5E"/>
    <w:rsid w:val="0023627E"/>
    <w:rsid w:val="0024368F"/>
    <w:rsid w:val="00262D29"/>
    <w:rsid w:val="00274CC7"/>
    <w:rsid w:val="002853CA"/>
    <w:rsid w:val="0028689D"/>
    <w:rsid w:val="002E444C"/>
    <w:rsid w:val="00302D6B"/>
    <w:rsid w:val="00375EAC"/>
    <w:rsid w:val="00387D0D"/>
    <w:rsid w:val="003A1C78"/>
    <w:rsid w:val="003C41C9"/>
    <w:rsid w:val="003C542A"/>
    <w:rsid w:val="004065E8"/>
    <w:rsid w:val="00414DCC"/>
    <w:rsid w:val="00470402"/>
    <w:rsid w:val="004906A6"/>
    <w:rsid w:val="004C6E55"/>
    <w:rsid w:val="00520249"/>
    <w:rsid w:val="00533CED"/>
    <w:rsid w:val="00537182"/>
    <w:rsid w:val="00543E8F"/>
    <w:rsid w:val="005458DD"/>
    <w:rsid w:val="00546E95"/>
    <w:rsid w:val="00551B81"/>
    <w:rsid w:val="005576D7"/>
    <w:rsid w:val="00562002"/>
    <w:rsid w:val="00575AF5"/>
    <w:rsid w:val="005F3D13"/>
    <w:rsid w:val="00604709"/>
    <w:rsid w:val="0065075E"/>
    <w:rsid w:val="00660E02"/>
    <w:rsid w:val="0069725B"/>
    <w:rsid w:val="006A3FFA"/>
    <w:rsid w:val="006A4B58"/>
    <w:rsid w:val="006D2305"/>
    <w:rsid w:val="006D7EEF"/>
    <w:rsid w:val="00703A3A"/>
    <w:rsid w:val="00715224"/>
    <w:rsid w:val="007456C8"/>
    <w:rsid w:val="0078150C"/>
    <w:rsid w:val="007A7889"/>
    <w:rsid w:val="008025A3"/>
    <w:rsid w:val="008251FB"/>
    <w:rsid w:val="00852E70"/>
    <w:rsid w:val="00855A69"/>
    <w:rsid w:val="00874BDE"/>
    <w:rsid w:val="0087615A"/>
    <w:rsid w:val="00882421"/>
    <w:rsid w:val="008847E4"/>
    <w:rsid w:val="0090568C"/>
    <w:rsid w:val="00917835"/>
    <w:rsid w:val="00950B25"/>
    <w:rsid w:val="0097244D"/>
    <w:rsid w:val="00972892"/>
    <w:rsid w:val="0098503E"/>
    <w:rsid w:val="009A1D22"/>
    <w:rsid w:val="009C5DCE"/>
    <w:rsid w:val="009D60BD"/>
    <w:rsid w:val="009F4695"/>
    <w:rsid w:val="00A024A7"/>
    <w:rsid w:val="00A6670F"/>
    <w:rsid w:val="00A7082E"/>
    <w:rsid w:val="00A82F71"/>
    <w:rsid w:val="00A847B6"/>
    <w:rsid w:val="00AC149F"/>
    <w:rsid w:val="00AC56D2"/>
    <w:rsid w:val="00AD0F35"/>
    <w:rsid w:val="00AE17A5"/>
    <w:rsid w:val="00AE72C2"/>
    <w:rsid w:val="00B23823"/>
    <w:rsid w:val="00B56D65"/>
    <w:rsid w:val="00B67083"/>
    <w:rsid w:val="00B70E84"/>
    <w:rsid w:val="00B9309A"/>
    <w:rsid w:val="00BA6732"/>
    <w:rsid w:val="00BE64D7"/>
    <w:rsid w:val="00BF7A3B"/>
    <w:rsid w:val="00C12234"/>
    <w:rsid w:val="00C3424C"/>
    <w:rsid w:val="00C36306"/>
    <w:rsid w:val="00C44B60"/>
    <w:rsid w:val="00C56DD8"/>
    <w:rsid w:val="00C619E7"/>
    <w:rsid w:val="00C80356"/>
    <w:rsid w:val="00CB2308"/>
    <w:rsid w:val="00CC5B87"/>
    <w:rsid w:val="00CF79BF"/>
    <w:rsid w:val="00D13416"/>
    <w:rsid w:val="00D143BF"/>
    <w:rsid w:val="00D15CA1"/>
    <w:rsid w:val="00D23619"/>
    <w:rsid w:val="00D326C0"/>
    <w:rsid w:val="00D924FA"/>
    <w:rsid w:val="00D927CB"/>
    <w:rsid w:val="00DB7014"/>
    <w:rsid w:val="00DC7EAD"/>
    <w:rsid w:val="00DE21E1"/>
    <w:rsid w:val="00DF0141"/>
    <w:rsid w:val="00E347B7"/>
    <w:rsid w:val="00E44D9E"/>
    <w:rsid w:val="00E57E6A"/>
    <w:rsid w:val="00E70352"/>
    <w:rsid w:val="00E913D2"/>
    <w:rsid w:val="00F01575"/>
    <w:rsid w:val="00F20D5A"/>
    <w:rsid w:val="00F54DB7"/>
    <w:rsid w:val="00F8427A"/>
    <w:rsid w:val="00FA7C6F"/>
    <w:rsid w:val="00FC29A5"/>
    <w:rsid w:val="00FE4249"/>
    <w:rsid w:val="00FE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7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254365165">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712026744">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2021-07-20T16:06:00Z</dcterms:created>
  <dcterms:modified xsi:type="dcterms:W3CDTF">2021-07-20T16:06:00Z</dcterms:modified>
</cp:coreProperties>
</file>