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61" w:rsidRPr="00546E95" w:rsidRDefault="00F74C61"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rsidR="00F74C61" w:rsidRPr="00546E95" w:rsidRDefault="00F74C61" w:rsidP="00AD0F35">
      <w:pPr>
        <w:contextualSpacing/>
        <w:jc w:val="center"/>
        <w:rPr>
          <w:rFonts w:eastAsia="Times New Roman" w:cs="Courier New"/>
        </w:rPr>
      </w:pPr>
      <w:r w:rsidRPr="00546E95">
        <w:rPr>
          <w:rFonts w:eastAsia="Times New Roman" w:cs="Courier New"/>
        </w:rPr>
        <w:t>AIR FORCE BOARD FOR CORRECTION OF MILITARY RECORDS</w:t>
      </w:r>
    </w:p>
    <w:p w:rsidR="00F74C61" w:rsidRPr="00546E95" w:rsidRDefault="00F74C61" w:rsidP="00AD0F35">
      <w:pPr>
        <w:contextualSpacing/>
        <w:rPr>
          <w:rFonts w:eastAsia="Times New Roman" w:cs="Courier New"/>
        </w:rPr>
      </w:pPr>
    </w:p>
    <w:p w:rsidR="00F74C61" w:rsidRPr="00546E95" w:rsidRDefault="00F74C61" w:rsidP="00AD0F35">
      <w:pPr>
        <w:contextualSpacing/>
        <w:rPr>
          <w:rFonts w:eastAsia="Times New Roman" w:cs="Courier New"/>
        </w:rPr>
      </w:pPr>
    </w:p>
    <w:p w:rsidR="00F74C61" w:rsidRPr="00546E95" w:rsidRDefault="00F74C61"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190BED">
        <w:rPr>
          <w:rFonts w:cs="Courier New"/>
          <w:bCs/>
          <w:noProof/>
        </w:rPr>
        <w:t>BC-2016-00152</w:t>
      </w:r>
    </w:p>
    <w:p w:rsidR="00F74C61" w:rsidRPr="00546E95" w:rsidRDefault="00F74C61" w:rsidP="00AD0F35">
      <w:pPr>
        <w:contextualSpacing/>
        <w:rPr>
          <w:rFonts w:cs="Courier New"/>
        </w:rPr>
      </w:pPr>
    </w:p>
    <w:p w:rsidR="00F74C61" w:rsidRPr="00546E95" w:rsidRDefault="00AC1A6B" w:rsidP="00AD0F35">
      <w:pPr>
        <w:contextualSpacing/>
        <w:jc w:val="both"/>
        <w:rPr>
          <w:rFonts w:cs="Courier New"/>
        </w:rPr>
      </w:pPr>
      <w:r>
        <w:rPr>
          <w:rFonts w:cs="Courier New"/>
          <w:bCs/>
          <w:noProof/>
        </w:rPr>
        <w:t xml:space="preserve">   </w:t>
      </w:r>
      <w:r w:rsidR="00A30EEB">
        <w:rPr>
          <w:rFonts w:cs="Courier New"/>
          <w:bCs/>
          <w:noProof/>
        </w:rPr>
        <w:tab/>
      </w:r>
      <w:r w:rsidR="00A30EEB">
        <w:rPr>
          <w:rFonts w:cs="Courier New"/>
          <w:bCs/>
          <w:noProof/>
        </w:rPr>
        <w:tab/>
      </w:r>
      <w:r w:rsidR="00A30EEB">
        <w:rPr>
          <w:rFonts w:cs="Courier New"/>
          <w:bCs/>
          <w:noProof/>
        </w:rPr>
        <w:tab/>
      </w:r>
      <w:r w:rsidR="00A30EEB">
        <w:rPr>
          <w:rFonts w:cs="Courier New"/>
          <w:bCs/>
          <w:noProof/>
        </w:rPr>
        <w:tab/>
      </w:r>
      <w:r w:rsidR="00F74C61" w:rsidRPr="00546E95">
        <w:rPr>
          <w:rFonts w:cs="Courier New"/>
          <w:bCs/>
        </w:rPr>
        <w:tab/>
      </w:r>
      <w:r w:rsidR="00F74C61">
        <w:rPr>
          <w:rFonts w:cs="Courier New"/>
          <w:bCs/>
        </w:rPr>
        <w:tab/>
      </w:r>
      <w:r w:rsidR="00F74C61" w:rsidRPr="00546E95">
        <w:rPr>
          <w:rFonts w:eastAsia="Times New Roman" w:cs="Courier New"/>
        </w:rPr>
        <w:t>COUNSEL:  NONE</w:t>
      </w:r>
    </w:p>
    <w:p w:rsidR="00F74C61" w:rsidRPr="00546E95" w:rsidRDefault="00F74C61" w:rsidP="00AD0F35">
      <w:pPr>
        <w:contextualSpacing/>
        <w:rPr>
          <w:rFonts w:eastAsia="Times New Roman" w:cs="Courier New"/>
        </w:rPr>
      </w:pPr>
    </w:p>
    <w:p w:rsidR="00F74C61" w:rsidRPr="00546E95" w:rsidRDefault="00F74C61"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F74C61" w:rsidRPr="00546E95" w:rsidRDefault="00F74C61" w:rsidP="00AD0F35">
      <w:pPr>
        <w:contextualSpacing/>
        <w:rPr>
          <w:rFonts w:eastAsia="Times New Roman" w:cs="Courier New"/>
        </w:rPr>
      </w:pPr>
    </w:p>
    <w:p w:rsidR="00F74C61" w:rsidRPr="00546E95" w:rsidRDefault="00F74C61" w:rsidP="00AD0F35">
      <w:pPr>
        <w:pBdr>
          <w:bottom w:val="single" w:sz="6" w:space="1" w:color="auto"/>
        </w:pBdr>
        <w:contextualSpacing/>
        <w:rPr>
          <w:rFonts w:eastAsia="Times New Roman" w:cs="Courier New"/>
        </w:rPr>
      </w:pP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rsidR="00F74C61" w:rsidRPr="00546E95" w:rsidRDefault="00F74C61" w:rsidP="00AD0F35">
      <w:pPr>
        <w:contextualSpacing/>
        <w:jc w:val="both"/>
        <w:rPr>
          <w:rFonts w:eastAsia="Times New Roman" w:cs="Courier New"/>
        </w:rPr>
      </w:pPr>
    </w:p>
    <w:p w:rsidR="00F74C61" w:rsidRPr="00546E95" w:rsidRDefault="00AC1A6B" w:rsidP="00AD0F35">
      <w:pPr>
        <w:pBdr>
          <w:bottom w:val="single" w:sz="6" w:space="1" w:color="auto"/>
        </w:pBdr>
        <w:contextualSpacing/>
        <w:jc w:val="both"/>
        <w:rPr>
          <w:rFonts w:eastAsia="Times New Roman" w:cs="Courier New"/>
        </w:rPr>
      </w:pPr>
      <w:r>
        <w:rPr>
          <w:rFonts w:eastAsia="Times New Roman" w:cs="Courier New"/>
        </w:rPr>
        <w:t xml:space="preserve">Her retired pay be recomputed at age 62 based upon her public service.  </w:t>
      </w:r>
    </w:p>
    <w:p w:rsidR="00F74C61" w:rsidRPr="00546E95" w:rsidRDefault="00F74C61" w:rsidP="00AD0F35">
      <w:pPr>
        <w:pBdr>
          <w:bottom w:val="single" w:sz="6" w:space="1" w:color="auto"/>
        </w:pBdr>
        <w:contextualSpacing/>
        <w:jc w:val="both"/>
        <w:rPr>
          <w:rFonts w:eastAsia="Times New Roman" w:cs="Courier New"/>
        </w:rPr>
      </w:pP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rsidR="00F74C61" w:rsidRPr="00546E95" w:rsidRDefault="00F74C61" w:rsidP="00AD0F35">
      <w:pPr>
        <w:contextualSpacing/>
        <w:jc w:val="both"/>
        <w:rPr>
          <w:rFonts w:eastAsia="Times New Roman" w:cs="Courier New"/>
        </w:rPr>
      </w:pPr>
    </w:p>
    <w:p w:rsidR="00F74C61" w:rsidRPr="00546E95" w:rsidRDefault="00AC1A6B" w:rsidP="00AD0F35">
      <w:pPr>
        <w:contextualSpacing/>
        <w:jc w:val="both"/>
        <w:rPr>
          <w:rFonts w:eastAsia="Times New Roman" w:cs="Courier New"/>
        </w:rPr>
      </w:pPr>
      <w:r>
        <w:rPr>
          <w:rFonts w:eastAsia="Times New Roman" w:cs="Courier New"/>
        </w:rPr>
        <w:t xml:space="preserve">She was not aware of the need to register for Public Service Credit before retiring from the military.  </w:t>
      </w: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The applicant’s complete submission, with attachments, is at Exhibit A.</w:t>
      </w:r>
    </w:p>
    <w:p w:rsidR="00F74C61" w:rsidRPr="00546E95" w:rsidRDefault="00F74C61" w:rsidP="00AD0F35">
      <w:pPr>
        <w:pBdr>
          <w:bottom w:val="single" w:sz="6" w:space="1" w:color="auto"/>
        </w:pBdr>
        <w:contextualSpacing/>
        <w:jc w:val="both"/>
        <w:rPr>
          <w:rFonts w:eastAsia="Times New Roman" w:cs="Courier New"/>
        </w:rPr>
      </w:pP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 xml:space="preserve">The applicant initially entered the Regular Air Force on </w:t>
      </w:r>
      <w:r w:rsidR="0002538B">
        <w:rPr>
          <w:rFonts w:eastAsia="Times New Roman" w:cs="Courier New"/>
        </w:rPr>
        <w:t>10 Oct 76</w:t>
      </w:r>
      <w:r w:rsidRPr="00546E95">
        <w:rPr>
          <w:rFonts w:eastAsia="Times New Roman" w:cs="Courier New"/>
        </w:rPr>
        <w:t>.</w:t>
      </w: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 xml:space="preserve">On </w:t>
      </w:r>
      <w:r w:rsidR="00E4356C">
        <w:rPr>
          <w:snapToGrid w:val="0"/>
        </w:rPr>
        <w:t>1 Sep 94</w:t>
      </w:r>
      <w:r w:rsidRPr="00546E95">
        <w:rPr>
          <w:rFonts w:eastAsia="Times New Roman" w:cs="Courier New"/>
        </w:rPr>
        <w:t xml:space="preserve">, the applicant </w:t>
      </w:r>
      <w:r w:rsidR="00E4356C">
        <w:rPr>
          <w:rFonts w:eastAsia="Times New Roman" w:cs="Courier New"/>
        </w:rPr>
        <w:t xml:space="preserve">retired under </w:t>
      </w:r>
      <w:r w:rsidR="005340FC">
        <w:rPr>
          <w:rFonts w:eastAsia="Times New Roman" w:cs="Courier New"/>
        </w:rPr>
        <w:t xml:space="preserve">the </w:t>
      </w:r>
      <w:r w:rsidR="00BD5077">
        <w:rPr>
          <w:rFonts w:eastAsia="Times New Roman" w:cs="Courier New"/>
        </w:rPr>
        <w:t>Temporary Early Retirement A</w:t>
      </w:r>
      <w:r w:rsidR="005340FC">
        <w:rPr>
          <w:rFonts w:eastAsia="Times New Roman" w:cs="Courier New"/>
        </w:rPr>
        <w:t>ct</w:t>
      </w:r>
      <w:r w:rsidR="00BD5077">
        <w:rPr>
          <w:rFonts w:eastAsia="Times New Roman" w:cs="Courier New"/>
        </w:rPr>
        <w:t xml:space="preserve"> (</w:t>
      </w:r>
      <w:r w:rsidR="00E4356C">
        <w:rPr>
          <w:rFonts w:eastAsia="Times New Roman" w:cs="Courier New"/>
        </w:rPr>
        <w:t>TERA</w:t>
      </w:r>
      <w:r w:rsidR="00BD5077">
        <w:rPr>
          <w:rFonts w:eastAsia="Times New Roman" w:cs="Courier New"/>
        </w:rPr>
        <w:t>)</w:t>
      </w:r>
      <w:r w:rsidR="00E4356C">
        <w:rPr>
          <w:rFonts w:eastAsia="Times New Roman" w:cs="Courier New"/>
        </w:rPr>
        <w:t xml:space="preserve"> after serving 1</w:t>
      </w:r>
      <w:r w:rsidR="0002538B">
        <w:rPr>
          <w:rFonts w:eastAsia="Times New Roman" w:cs="Courier New"/>
        </w:rPr>
        <w:t>7</w:t>
      </w:r>
      <w:r w:rsidR="00E4356C">
        <w:rPr>
          <w:rFonts w:eastAsia="Times New Roman" w:cs="Courier New"/>
        </w:rPr>
        <w:t> </w:t>
      </w:r>
      <w:r w:rsidRPr="00546E95">
        <w:rPr>
          <w:rFonts w:eastAsia="Times New Roman" w:cs="Courier New"/>
        </w:rPr>
        <w:t>years</w:t>
      </w:r>
      <w:r w:rsidR="0002538B">
        <w:rPr>
          <w:rFonts w:eastAsia="Times New Roman" w:cs="Courier New"/>
        </w:rPr>
        <w:t>, 10 months, and 21</w:t>
      </w:r>
      <w:r w:rsidR="00E4356C">
        <w:rPr>
          <w:rFonts w:eastAsia="Times New Roman" w:cs="Courier New"/>
        </w:rPr>
        <w:t xml:space="preserve"> </w:t>
      </w:r>
      <w:r w:rsidRPr="00546E95">
        <w:rPr>
          <w:rFonts w:eastAsia="Times New Roman" w:cs="Courier New"/>
        </w:rPr>
        <w:t xml:space="preserve">days of </w:t>
      </w:r>
      <w:r w:rsidR="00E4356C">
        <w:rPr>
          <w:rFonts w:eastAsia="Times New Roman" w:cs="Courier New"/>
        </w:rPr>
        <w:t xml:space="preserve">total </w:t>
      </w:r>
      <w:r w:rsidRPr="00546E95">
        <w:rPr>
          <w:rFonts w:eastAsia="Times New Roman" w:cs="Courier New"/>
        </w:rPr>
        <w:t xml:space="preserve">active service.   </w:t>
      </w: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 xml:space="preserve">The remaining relevant facts pertaining to this application are contained in the memorandum prepared by the Air Force office of primary responsibility (OPR), which is attached at Exhibit C.    </w:t>
      </w:r>
    </w:p>
    <w:p w:rsidR="00F74C61" w:rsidRPr="00546E95" w:rsidRDefault="00F74C61" w:rsidP="00AD0F35">
      <w:pPr>
        <w:pBdr>
          <w:bottom w:val="single" w:sz="6" w:space="1" w:color="auto"/>
        </w:pBdr>
        <w:contextualSpacing/>
        <w:jc w:val="both"/>
        <w:rPr>
          <w:rFonts w:eastAsia="Times New Roman" w:cs="Courier New"/>
        </w:rPr>
      </w:pPr>
    </w:p>
    <w:p w:rsidR="00F74C61" w:rsidRPr="00546E95" w:rsidRDefault="00F74C61" w:rsidP="00AD0F35">
      <w:pPr>
        <w:contextualSpacing/>
        <w:jc w:val="both"/>
        <w:rPr>
          <w:rFonts w:eastAsia="Times New Roman" w:cs="Courier New"/>
          <w:u w:val="single"/>
        </w:rPr>
      </w:pPr>
    </w:p>
    <w:p w:rsidR="00F74C61" w:rsidRPr="00546E95" w:rsidRDefault="00F74C61"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rsidR="00F74C61" w:rsidRPr="00546E95" w:rsidRDefault="00F74C61" w:rsidP="00AD0F35">
      <w:pPr>
        <w:contextualSpacing/>
        <w:jc w:val="both"/>
        <w:rPr>
          <w:rFonts w:eastAsia="Times New Roman" w:cs="Courier New"/>
        </w:rPr>
      </w:pPr>
    </w:p>
    <w:p w:rsidR="00E4356C" w:rsidRDefault="00AC1A6B" w:rsidP="0002538B">
      <w:pPr>
        <w:contextualSpacing/>
        <w:jc w:val="both"/>
        <w:rPr>
          <w:snapToGrid w:val="0"/>
        </w:rPr>
      </w:pPr>
      <w:r>
        <w:rPr>
          <w:rFonts w:eastAsia="Times New Roman" w:cs="Courier New"/>
        </w:rPr>
        <w:t>The AFPC Military Retirements and Separations</w:t>
      </w:r>
      <w:r w:rsidRPr="00546E95">
        <w:rPr>
          <w:rFonts w:eastAsia="Times New Roman" w:cs="Courier New"/>
        </w:rPr>
        <w:t xml:space="preserve"> </w:t>
      </w:r>
      <w:r>
        <w:rPr>
          <w:rFonts w:eastAsia="Times New Roman" w:cs="Courier New"/>
        </w:rPr>
        <w:t xml:space="preserve">Office </w:t>
      </w:r>
      <w:r w:rsidR="00F74C61" w:rsidRPr="00546E95">
        <w:rPr>
          <w:rFonts w:eastAsia="Times New Roman" w:cs="Courier New"/>
        </w:rPr>
        <w:t xml:space="preserve">recommends denial indicating there is no evidence of an error or an injustice. </w:t>
      </w:r>
      <w:r>
        <w:rPr>
          <w:rFonts w:eastAsia="Times New Roman" w:cs="Courier New"/>
        </w:rPr>
        <w:t xml:space="preserve">The FY93 National Defense Authorization Act (NDAA) enacted </w:t>
      </w:r>
      <w:r w:rsidR="00E4356C">
        <w:rPr>
          <w:rFonts w:eastAsia="Times New Roman" w:cs="Courier New"/>
        </w:rPr>
        <w:t xml:space="preserve">the </w:t>
      </w:r>
      <w:r>
        <w:rPr>
          <w:rFonts w:eastAsia="Times New Roman" w:cs="Courier New"/>
        </w:rPr>
        <w:t xml:space="preserve">TERA, which permitted selected military members having more than 15 years but less than 20 years of service to retire early.  </w:t>
      </w:r>
      <w:r w:rsidR="00E4356C">
        <w:rPr>
          <w:snapToGrid w:val="0"/>
        </w:rPr>
        <w:t xml:space="preserve">Section 4464 of the FY93 NDAA allowed eligible members retired under TERA to perform public and community service </w:t>
      </w:r>
      <w:r w:rsidR="0002538B">
        <w:rPr>
          <w:snapToGrid w:val="0"/>
        </w:rPr>
        <w:t xml:space="preserve">(PACS) </w:t>
      </w:r>
      <w:r w:rsidR="00E4356C">
        <w:rPr>
          <w:snapToGrid w:val="0"/>
        </w:rPr>
        <w:t xml:space="preserve">following retirement and receive credit for this service to be used to </w:t>
      </w:r>
      <w:proofErr w:type="spellStart"/>
      <w:r w:rsidR="00E4356C">
        <w:rPr>
          <w:snapToGrid w:val="0"/>
        </w:rPr>
        <w:t>recompute</w:t>
      </w:r>
      <w:proofErr w:type="spellEnd"/>
      <w:r w:rsidR="00E4356C">
        <w:rPr>
          <w:snapToGrid w:val="0"/>
        </w:rPr>
        <w:t xml:space="preserve"> military retired pay, and where applicable, the Survivor Benefit Plan (SBP) base amount when the retired member attains or would have attained 62 years of age.  Public and community service </w:t>
      </w:r>
      <w:r w:rsidR="00E4356C">
        <w:rPr>
          <w:snapToGrid w:val="0"/>
        </w:rPr>
        <w:lastRenderedPageBreak/>
        <w:t>job vacancies included education, conservation, environmental protection, law enforcement, and public health care positions.</w:t>
      </w:r>
      <w:r w:rsidR="0002538B">
        <w:rPr>
          <w:snapToGrid w:val="0"/>
        </w:rPr>
        <w:t xml:space="preserve">  </w:t>
      </w:r>
    </w:p>
    <w:p w:rsidR="0002538B" w:rsidRDefault="0002538B" w:rsidP="0002538B">
      <w:pPr>
        <w:contextualSpacing/>
        <w:jc w:val="both"/>
        <w:rPr>
          <w:snapToGrid w:val="0"/>
        </w:rPr>
      </w:pPr>
    </w:p>
    <w:p w:rsidR="00AC1A6B" w:rsidRDefault="0002538B" w:rsidP="0002538B">
      <w:pPr>
        <w:contextualSpacing/>
        <w:jc w:val="both"/>
        <w:rPr>
          <w:rFonts w:eastAsia="Times New Roman" w:cs="Courier New"/>
        </w:rPr>
      </w:pPr>
      <w:r>
        <w:rPr>
          <w:snapToGrid w:val="0"/>
        </w:rPr>
        <w:t>However, MPFL 93-024, paragraph 3b, indicated information would be provided to the member by the Family Support Center (FSC); the member could register for this program at the FSC prior to departure; and registration “MUST BE CONFIRMED” before members were permitted to out proces</w:t>
      </w:r>
      <w:r w:rsidR="00EF4BE3">
        <w:rPr>
          <w:snapToGrid w:val="0"/>
        </w:rPr>
        <w:t xml:space="preserve">s.  Paragraph 7 also indicated </w:t>
      </w:r>
      <w:r>
        <w:rPr>
          <w:snapToGrid w:val="0"/>
        </w:rPr>
        <w:t>members must initiate the registration process prior to applying for the early retirement program.  In addition, p</w:t>
      </w:r>
      <w:r>
        <w:rPr>
          <w:rFonts w:eastAsia="Times New Roman" w:cs="Courier New"/>
        </w:rPr>
        <w:t xml:space="preserve">er </w:t>
      </w:r>
      <w:proofErr w:type="spellStart"/>
      <w:r w:rsidR="00AC1A6B">
        <w:rPr>
          <w:rFonts w:eastAsia="Times New Roman" w:cs="Courier New"/>
        </w:rPr>
        <w:t>DoDI</w:t>
      </w:r>
      <w:proofErr w:type="spellEnd"/>
      <w:r w:rsidR="00AC1A6B">
        <w:rPr>
          <w:rFonts w:eastAsia="Times New Roman" w:cs="Courier New"/>
        </w:rPr>
        <w:t xml:space="preserve"> 1340.19, </w:t>
      </w:r>
      <w:r w:rsidR="00AC1A6B">
        <w:rPr>
          <w:rFonts w:eastAsia="Times New Roman" w:cs="Courier New"/>
          <w:i/>
        </w:rPr>
        <w:t>Certification of Public and Community Service Employment of Military Retirees</w:t>
      </w:r>
      <w:r w:rsidR="00AC1A6B">
        <w:rPr>
          <w:rFonts w:eastAsia="Times New Roman" w:cs="Courier New"/>
        </w:rPr>
        <w:t xml:space="preserve">, the veteran must have performed public/community service “within the period beginning on the date of retirement and ending on the date the retired member would have attained 20 years of creditable service for computing retired pay.”  This is referred to as the veteran’s “enhanced retirement qualification period” or ERQP.  All reporting under </w:t>
      </w:r>
      <w:r w:rsidR="005340FC">
        <w:rPr>
          <w:rFonts w:eastAsia="Times New Roman" w:cs="Courier New"/>
        </w:rPr>
        <w:t>t</w:t>
      </w:r>
      <w:r w:rsidR="00AC1A6B">
        <w:rPr>
          <w:rFonts w:eastAsia="Times New Roman" w:cs="Courier New"/>
        </w:rPr>
        <w:t xml:space="preserve">his program should have been completed no later than one year following the ERQP.  The law allows no provision to retroactively register for employment in the public or community service organizations.  </w:t>
      </w:r>
    </w:p>
    <w:p w:rsidR="00E4356C" w:rsidRDefault="00E4356C" w:rsidP="00AC1A6B">
      <w:pPr>
        <w:tabs>
          <w:tab w:val="left" w:pos="288"/>
          <w:tab w:val="left" w:pos="4752"/>
        </w:tabs>
        <w:jc w:val="both"/>
        <w:rPr>
          <w:rFonts w:eastAsia="Times New Roman" w:cs="Courier New"/>
        </w:rPr>
      </w:pPr>
    </w:p>
    <w:p w:rsidR="00E4356C" w:rsidRPr="0002538B" w:rsidRDefault="00E4356C" w:rsidP="00EF4BE3">
      <w:pPr>
        <w:widowControl w:val="0"/>
        <w:jc w:val="both"/>
        <w:rPr>
          <w:snapToGrid w:val="0"/>
        </w:rPr>
      </w:pPr>
      <w:r>
        <w:rPr>
          <w:snapToGrid w:val="0"/>
        </w:rPr>
        <w:t xml:space="preserve">The applicant retired effective 1 Sep 94 under the TERA.  </w:t>
      </w:r>
      <w:r w:rsidR="0002538B">
        <w:rPr>
          <w:snapToGrid w:val="0"/>
        </w:rPr>
        <w:t xml:space="preserve">Any creditable service must have been completed prior to 10 Oct 96, the date the applicant would have attained 20 years of TAFMS if she had continued to serve on active duty.  Based on the reporting instructions established by the Defense </w:t>
      </w:r>
      <w:r w:rsidR="005340FC">
        <w:rPr>
          <w:snapToGrid w:val="0"/>
        </w:rPr>
        <w:t>Manpower</w:t>
      </w:r>
      <w:r w:rsidR="0002538B">
        <w:rPr>
          <w:snapToGrid w:val="0"/>
        </w:rPr>
        <w:t xml:space="preserve"> Data Center (DMDC), the applicant was required to submit final records of creditable service within a year, or by 10 Oct 97.  Finally, t</w:t>
      </w:r>
      <w:r>
        <w:rPr>
          <w:snapToGrid w:val="0"/>
        </w:rPr>
        <w:t xml:space="preserve">he retirement application submitted by the applicant, dated 22 Nov 93, states </w:t>
      </w:r>
      <w:r>
        <w:rPr>
          <w:i/>
          <w:snapToGrid w:val="0"/>
        </w:rPr>
        <w:t>“I understand that I must register on the public and community service registry at the FSC and that my retirement cannot be consummated until my registration has been confirmed.”</w:t>
      </w:r>
      <w:r>
        <w:rPr>
          <w:snapToGrid w:val="0"/>
        </w:rPr>
        <w:t xml:space="preserve">  The applicant signed under the statement to acknowledge it.  Title 10 United States Code (USC) Section 1143a does not allow any provision to retroactively register for employment in public or community service organizations.  We recommend denial of the applicant’s request.  </w:t>
      </w:r>
    </w:p>
    <w:p w:rsidR="00F74C61" w:rsidRPr="00546E95" w:rsidRDefault="00F74C61" w:rsidP="00EF4BE3">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 xml:space="preserve">A complete copy of the </w:t>
      </w:r>
      <w:r w:rsidR="00AC1A6B">
        <w:rPr>
          <w:rFonts w:eastAsia="Times New Roman" w:cs="Courier New"/>
        </w:rPr>
        <w:t>AFPC Military Retirements and Separations</w:t>
      </w:r>
      <w:r w:rsidR="00AC1A6B" w:rsidRPr="00546E95">
        <w:rPr>
          <w:rFonts w:eastAsia="Times New Roman" w:cs="Courier New"/>
        </w:rPr>
        <w:t xml:space="preserve"> </w:t>
      </w:r>
      <w:r w:rsidRPr="00546E95">
        <w:rPr>
          <w:rFonts w:eastAsia="Times New Roman" w:cs="Courier New"/>
        </w:rPr>
        <w:t>evaluation is at Exhibit C.</w:t>
      </w:r>
    </w:p>
    <w:p w:rsidR="00F74C61" w:rsidRPr="00546E95" w:rsidRDefault="00F74C61" w:rsidP="00AD0F35">
      <w:pPr>
        <w:pBdr>
          <w:bottom w:val="single" w:sz="6" w:space="1" w:color="auto"/>
        </w:pBdr>
        <w:contextualSpacing/>
        <w:jc w:val="both"/>
        <w:rPr>
          <w:rFonts w:eastAsia="Times New Roman" w:cs="Courier New"/>
        </w:rPr>
      </w:pPr>
    </w:p>
    <w:p w:rsidR="00F74C61" w:rsidRPr="00546E95" w:rsidRDefault="00F74C61" w:rsidP="00AD0F35">
      <w:pPr>
        <w:contextualSpacing/>
        <w:jc w:val="both"/>
        <w:rPr>
          <w:rFonts w:eastAsia="Times New Roman" w:cs="Courier New"/>
          <w:u w:val="single"/>
        </w:rPr>
      </w:pPr>
    </w:p>
    <w:p w:rsidR="00F74C61" w:rsidRPr="00546E95" w:rsidRDefault="00F74C61"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rsidR="00F74C61" w:rsidRPr="00546E95" w:rsidRDefault="00F74C61" w:rsidP="00AD0F35">
      <w:pPr>
        <w:contextualSpacing/>
        <w:jc w:val="both"/>
        <w:rPr>
          <w:rFonts w:eastAsia="Times New Roman" w:cs="Courier New"/>
        </w:rPr>
      </w:pPr>
    </w:p>
    <w:p w:rsidR="00F74C61" w:rsidRPr="00546E95" w:rsidRDefault="00AC1A6B" w:rsidP="00AD0F35">
      <w:pPr>
        <w:contextualSpacing/>
        <w:jc w:val="both"/>
        <w:rPr>
          <w:rFonts w:eastAsia="Times New Roman" w:cs="Courier New"/>
        </w:rPr>
      </w:pPr>
      <w:r>
        <w:rPr>
          <w:rFonts w:eastAsia="Times New Roman" w:cs="Courier New"/>
        </w:rPr>
        <w:t>A copy of the Air Force evaluation was</w:t>
      </w:r>
      <w:r w:rsidR="00F74C61" w:rsidRPr="00546E95">
        <w:rPr>
          <w:rFonts w:eastAsia="Times New Roman" w:cs="Courier New"/>
        </w:rPr>
        <w:t xml:space="preserve"> forwarded to the applicant on </w:t>
      </w:r>
      <w:r>
        <w:rPr>
          <w:rFonts w:eastAsia="Times New Roman" w:cs="Courier New"/>
        </w:rPr>
        <w:t>17 Jun 16</w:t>
      </w:r>
      <w:r w:rsidR="00F74C61" w:rsidRPr="00546E95">
        <w:rPr>
          <w:rFonts w:eastAsia="Times New Roman" w:cs="Courier New"/>
        </w:rPr>
        <w:t xml:space="preserve"> for review and comment within 30 days (Exhibit D).  As of this date, no response has been received by this office.</w:t>
      </w:r>
    </w:p>
    <w:p w:rsidR="00F74C61" w:rsidRPr="00546E95" w:rsidRDefault="00F74C61" w:rsidP="00AD0F35">
      <w:pPr>
        <w:pBdr>
          <w:bottom w:val="single" w:sz="6" w:space="1" w:color="auto"/>
        </w:pBdr>
        <w:contextualSpacing/>
        <w:jc w:val="both"/>
        <w:rPr>
          <w:rFonts w:eastAsia="Times New Roman" w:cs="Courier New"/>
        </w:rPr>
      </w:pPr>
    </w:p>
    <w:p w:rsidR="00F74C61" w:rsidRPr="00546E95" w:rsidRDefault="00F74C61" w:rsidP="00AD0F35">
      <w:pPr>
        <w:contextualSpacing/>
        <w:rPr>
          <w:rFonts w:eastAsia="Times New Roman" w:cs="Courier New"/>
          <w:u w:val="single"/>
        </w:rPr>
      </w:pPr>
    </w:p>
    <w:p w:rsidR="00F74C61" w:rsidRPr="00546E95" w:rsidRDefault="00F74C61" w:rsidP="00AD0F35">
      <w:pPr>
        <w:contextualSpacing/>
        <w:jc w:val="both"/>
        <w:rPr>
          <w:rFonts w:eastAsia="Times New Roman" w:cs="Courier New"/>
          <w:u w:val="single"/>
        </w:rPr>
      </w:pPr>
      <w:r w:rsidRPr="00546E95">
        <w:rPr>
          <w:rFonts w:eastAsia="Times New Roman" w:cs="Courier New"/>
          <w:u w:val="single"/>
        </w:rPr>
        <w:t>FINDINGS AND CONCLUSIONS OF THE BOARD:</w:t>
      </w:r>
    </w:p>
    <w:p w:rsidR="00F74C61" w:rsidRPr="000B4799" w:rsidRDefault="00F74C61" w:rsidP="000B4799">
      <w:pPr>
        <w:contextualSpacing/>
        <w:jc w:val="both"/>
        <w:rPr>
          <w:rFonts w:eastAsia="Times New Roman" w:cs="Courier New"/>
        </w:rPr>
      </w:pPr>
    </w:p>
    <w:p w:rsidR="00F74C61" w:rsidRPr="000B4799" w:rsidRDefault="00F74C61" w:rsidP="000B4799">
      <w:pPr>
        <w:contextualSpacing/>
        <w:jc w:val="both"/>
        <w:rPr>
          <w:rFonts w:eastAsia="Times New Roman" w:cs="Courier New"/>
        </w:rPr>
      </w:pPr>
      <w:r w:rsidRPr="000B4799">
        <w:rPr>
          <w:rFonts w:eastAsia="Times New Roman" w:cs="Courier New"/>
        </w:rPr>
        <w:t xml:space="preserve">Insufficient </w:t>
      </w:r>
      <w:r>
        <w:rPr>
          <w:rFonts w:eastAsia="Times New Roman" w:cs="Courier New"/>
        </w:rPr>
        <w:t xml:space="preserve">relevant </w:t>
      </w:r>
      <w:r w:rsidRPr="000B4799">
        <w:rPr>
          <w:rFonts w:eastAsia="Times New Roman" w:cs="Courier New"/>
        </w:rPr>
        <w:t xml:space="preserve">evidence has been presented to demonstrate the </w:t>
      </w:r>
      <w:r>
        <w:rPr>
          <w:rFonts w:eastAsia="Times New Roman" w:cs="Courier New"/>
        </w:rPr>
        <w:t>existence of</w:t>
      </w:r>
      <w:r w:rsidRPr="000B4799">
        <w:rPr>
          <w:rFonts w:eastAsia="Times New Roman" w:cs="Courier New"/>
        </w:rPr>
        <w:t xml:space="preserve"> an error or injustice.  After a careful review of </w:t>
      </w:r>
      <w:r w:rsidRPr="000B4799">
        <w:rPr>
          <w:rFonts w:eastAsia="Times New Roman" w:cs="Courier New"/>
        </w:rPr>
        <w:lastRenderedPageBreak/>
        <w:t xml:space="preserve">the applicant's contentions, documentation submitted in support of </w:t>
      </w:r>
      <w:r>
        <w:rPr>
          <w:rFonts w:eastAsia="Times New Roman" w:cs="Courier New"/>
        </w:rPr>
        <w:t>the</w:t>
      </w:r>
      <w:r w:rsidRPr="000B4799">
        <w:rPr>
          <w:rFonts w:eastAsia="Times New Roman" w:cs="Courier New"/>
        </w:rPr>
        <w:t xml:space="preserve"> request, and the </w:t>
      </w:r>
      <w:r>
        <w:rPr>
          <w:rFonts w:eastAsia="Times New Roman" w:cs="Courier New"/>
        </w:rPr>
        <w:t xml:space="preserve">available </w:t>
      </w:r>
      <w:r w:rsidRPr="000B4799">
        <w:rPr>
          <w:rFonts w:eastAsia="Times New Roman" w:cs="Courier New"/>
        </w:rPr>
        <w:t xml:space="preserve">evidence of record, we are not convinced the applicant has provided sufficient evidence for us to conclude </w:t>
      </w:r>
      <w:r w:rsidR="00AC1A6B">
        <w:rPr>
          <w:rFonts w:eastAsia="Times New Roman" w:cs="Courier New"/>
        </w:rPr>
        <w:t>she</w:t>
      </w:r>
      <w:r w:rsidRPr="000B4799">
        <w:rPr>
          <w:rFonts w:eastAsia="Times New Roman" w:cs="Courier New"/>
        </w:rPr>
        <w:t xml:space="preserve"> is the victim of an error or injustice.  We also note the applicant did not file the application within three years after the alleged error or injustice was discovered, or should have been discovered, as required by Title 10, United States Code, Section 1552 and Air Force Instruction 36-2603.  While the applicant claims a date of discovery of less than three years prior to receipt of the application, we believe a reasonable date of discovery was more than three years prior to receipt of the application.  Therefore, because we do not find it would be in the interest of justice to recommend granting relief, and the applicant has offered no plausible reason for the delay in filing the application, we cannot conclude it would be in the interest of justice to excuse the failure to timely file the application.  Accordingly, we find the application untimely.</w:t>
      </w:r>
    </w:p>
    <w:p w:rsidR="00F74C61" w:rsidRPr="00546E95" w:rsidRDefault="00F74C61" w:rsidP="00AD0F35">
      <w:pPr>
        <w:pBdr>
          <w:bottom w:val="single" w:sz="6" w:space="1" w:color="auto"/>
        </w:pBdr>
        <w:contextualSpacing/>
        <w:jc w:val="both"/>
        <w:rPr>
          <w:rFonts w:eastAsia="Calibri" w:cs="Courier New"/>
        </w:rPr>
      </w:pPr>
    </w:p>
    <w:p w:rsidR="00F74C61" w:rsidRPr="00546E95" w:rsidRDefault="00F74C61" w:rsidP="00AD0F35">
      <w:pPr>
        <w:contextualSpacing/>
        <w:jc w:val="both"/>
        <w:rPr>
          <w:rFonts w:eastAsia="Times New Roman" w:cs="Courier New"/>
          <w:u w:val="single"/>
        </w:rPr>
      </w:pPr>
    </w:p>
    <w:p w:rsidR="00F74C61" w:rsidRPr="00546E95" w:rsidRDefault="00F74C61" w:rsidP="00AD0F35">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rsidR="00F74C61" w:rsidRDefault="00F74C61" w:rsidP="00DB7014">
      <w:pPr>
        <w:contextualSpacing/>
        <w:jc w:val="both"/>
        <w:rPr>
          <w:rFonts w:eastAsia="Times New Roman" w:cs="Courier New"/>
        </w:rPr>
      </w:pPr>
    </w:p>
    <w:p w:rsidR="00F74C61" w:rsidRPr="00546E95" w:rsidRDefault="00F74C61" w:rsidP="00DB7014">
      <w:pPr>
        <w:contextualSpacing/>
        <w:jc w:val="both"/>
        <w:rPr>
          <w:rFonts w:eastAsia="Times New Roman" w:cs="Courier New"/>
        </w:rPr>
      </w:pPr>
      <w:r w:rsidRPr="00546E95">
        <w:rPr>
          <w:rFonts w:eastAsia="Times New Roman" w:cs="Courier New"/>
        </w:rPr>
        <w:t>The application was not timely filed and it would not be in the interest of justice to waive the untimeliness.  It is the decision of the Board, therefore, to reject the application as untimely.</w:t>
      </w:r>
    </w:p>
    <w:p w:rsidR="00F74C61" w:rsidRPr="00546E95" w:rsidRDefault="00F74C61" w:rsidP="00AD0F35">
      <w:pPr>
        <w:pBdr>
          <w:bottom w:val="single" w:sz="6" w:space="1" w:color="auto"/>
        </w:pBdr>
        <w:contextualSpacing/>
        <w:jc w:val="both"/>
        <w:rPr>
          <w:rFonts w:eastAsia="Times New Roman" w:cs="Courier New"/>
          <w:u w:val="single"/>
        </w:rPr>
      </w:pPr>
    </w:p>
    <w:p w:rsidR="00F74C61" w:rsidRPr="00546E95" w:rsidRDefault="00F74C61" w:rsidP="00AD0F35">
      <w:pPr>
        <w:contextualSpacing/>
        <w:rPr>
          <w:rFonts w:eastAsia="Times New Roman" w:cs="Courier New"/>
        </w:rPr>
      </w:pPr>
    </w:p>
    <w:p w:rsidR="00F74C61" w:rsidRPr="00546E95" w:rsidRDefault="00F74C61" w:rsidP="00AD0F35">
      <w:pPr>
        <w:contextualSpacing/>
        <w:jc w:val="both"/>
        <w:rPr>
          <w:rFonts w:cs="Courier New"/>
          <w:bCs/>
        </w:rPr>
      </w:pPr>
      <w:r w:rsidRPr="00546E95">
        <w:rPr>
          <w:rFonts w:eastAsia="Times New Roman" w:cs="Courier New"/>
        </w:rPr>
        <w:t xml:space="preserve">The following members of the Board considered AFBCMR Docket Number </w:t>
      </w:r>
      <w:r w:rsidRPr="00190BED">
        <w:rPr>
          <w:rFonts w:cs="Courier New"/>
          <w:bCs/>
          <w:noProof/>
        </w:rPr>
        <w:t>BC-2016-00152</w:t>
      </w:r>
      <w:r w:rsidRPr="00546E95">
        <w:rPr>
          <w:rFonts w:cs="Courier New"/>
        </w:rPr>
        <w:t xml:space="preserve"> </w:t>
      </w:r>
      <w:r w:rsidRPr="00546E95">
        <w:rPr>
          <w:rFonts w:eastAsia="Times New Roman" w:cs="Courier New"/>
        </w:rPr>
        <w:t xml:space="preserve">in Executive Session on </w:t>
      </w:r>
      <w:r w:rsidR="00DF1C06">
        <w:rPr>
          <w:rFonts w:eastAsia="Times New Roman" w:cs="Courier New"/>
        </w:rPr>
        <w:t xml:space="preserve">21 </w:t>
      </w:r>
      <w:r w:rsidR="00AC1A6B">
        <w:rPr>
          <w:rFonts w:eastAsia="Times New Roman" w:cs="Courier New"/>
        </w:rPr>
        <w:t>Mar 17</w:t>
      </w:r>
      <w:r w:rsidRPr="00546E95">
        <w:rPr>
          <w:rFonts w:cs="Courier New"/>
          <w:bCs/>
        </w:rPr>
        <w:t xml:space="preserve"> </w:t>
      </w:r>
      <w:r w:rsidRPr="00546E95">
        <w:rPr>
          <w:rFonts w:eastAsia="Times New Roman" w:cs="Courier New"/>
        </w:rPr>
        <w:t>under the provisions of AFI 36-2603:</w:t>
      </w:r>
    </w:p>
    <w:p w:rsidR="00F74C61" w:rsidRPr="00546E95" w:rsidRDefault="00F74C61" w:rsidP="00AD0F35">
      <w:pPr>
        <w:contextualSpacing/>
        <w:jc w:val="both"/>
        <w:rPr>
          <w:rFonts w:eastAsia="Times New Roman" w:cs="Courier New"/>
        </w:rPr>
      </w:pPr>
    </w:p>
    <w:p w:rsidR="00AA097D" w:rsidRDefault="00AA097D" w:rsidP="00AA097D">
      <w:pPr>
        <w:contextualSpacing/>
        <w:jc w:val="both"/>
        <w:rPr>
          <w:rFonts w:eastAsia="Calibri" w:cs="Courier New"/>
        </w:rPr>
      </w:pPr>
      <w:r>
        <w:rPr>
          <w:rFonts w:eastAsia="Calibri" w:cs="Courier New"/>
        </w:rPr>
        <w:tab/>
        <w:t>Panel Chair</w:t>
      </w:r>
    </w:p>
    <w:p w:rsidR="00AA097D" w:rsidRDefault="00AA097D" w:rsidP="00AA097D">
      <w:pPr>
        <w:contextualSpacing/>
        <w:jc w:val="both"/>
        <w:rPr>
          <w:rFonts w:eastAsia="Calibri" w:cs="Courier New"/>
        </w:rPr>
      </w:pPr>
      <w:r>
        <w:rPr>
          <w:rFonts w:eastAsia="Calibri" w:cs="Courier New"/>
        </w:rPr>
        <w:tab/>
        <w:t>Member</w:t>
      </w:r>
    </w:p>
    <w:p w:rsidR="00AA097D" w:rsidRDefault="00AA097D" w:rsidP="00AA097D">
      <w:pPr>
        <w:contextualSpacing/>
        <w:jc w:val="both"/>
        <w:rPr>
          <w:rFonts w:eastAsia="Calibri" w:cs="Courier New"/>
        </w:rPr>
      </w:pPr>
      <w:r>
        <w:rPr>
          <w:rFonts w:eastAsia="Calibri" w:cs="Courier New"/>
        </w:rPr>
        <w:tab/>
        <w:t>Member</w:t>
      </w: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 xml:space="preserve">The following documentary evidence pertaining </w:t>
      </w:r>
      <w:r>
        <w:rPr>
          <w:rFonts w:eastAsia="Times New Roman" w:cs="Courier New"/>
        </w:rPr>
        <w:t xml:space="preserve">to </w:t>
      </w:r>
      <w:r w:rsidRPr="00546E95">
        <w:rPr>
          <w:rFonts w:eastAsia="Times New Roman" w:cs="Courier New"/>
        </w:rPr>
        <w:t xml:space="preserve">AFBCMR Docket Number </w:t>
      </w:r>
      <w:r w:rsidRPr="00190BED">
        <w:rPr>
          <w:rFonts w:eastAsia="Times New Roman" w:cs="Courier New"/>
          <w:bCs/>
          <w:noProof/>
        </w:rPr>
        <w:t>BC-2016-00152</w:t>
      </w:r>
      <w:r w:rsidRPr="00546E95">
        <w:rPr>
          <w:rFonts w:eastAsia="Times New Roman" w:cs="Courier New"/>
        </w:rPr>
        <w:t xml:space="preserve"> was considered:</w:t>
      </w:r>
    </w:p>
    <w:p w:rsidR="00F74C61" w:rsidRPr="00546E95" w:rsidRDefault="00F74C61" w:rsidP="00AD0F35">
      <w:pPr>
        <w:contextualSpacing/>
        <w:jc w:val="both"/>
        <w:rPr>
          <w:rFonts w:eastAsia="Times New Roman" w:cs="Courier New"/>
        </w:rPr>
      </w:pPr>
    </w:p>
    <w:p w:rsidR="00F74C61" w:rsidRPr="00546E95" w:rsidRDefault="00F74C61" w:rsidP="00AD0F35">
      <w:pPr>
        <w:contextualSpacing/>
        <w:jc w:val="both"/>
        <w:rPr>
          <w:rFonts w:eastAsia="Times New Roman" w:cs="Courier New"/>
        </w:rPr>
      </w:pPr>
      <w:r w:rsidRPr="00546E95">
        <w:rPr>
          <w:rFonts w:eastAsia="Times New Roman" w:cs="Courier New"/>
        </w:rPr>
        <w:tab/>
        <w:t xml:space="preserve">Exhibit A.  DD Form 149, dated </w:t>
      </w:r>
      <w:r w:rsidR="00AC1A6B">
        <w:rPr>
          <w:rFonts w:eastAsia="Times New Roman" w:cs="Courier New"/>
        </w:rPr>
        <w:t>9 Jan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rsidR="00F74C61" w:rsidRPr="00546E95" w:rsidRDefault="00F74C61" w:rsidP="00AD0F35">
      <w:pPr>
        <w:contextualSpacing/>
        <w:jc w:val="both"/>
        <w:rPr>
          <w:rFonts w:eastAsia="Times New Roman" w:cs="Courier New"/>
        </w:rPr>
      </w:pPr>
      <w:r w:rsidRPr="00546E95">
        <w:rPr>
          <w:rFonts w:eastAsia="Times New Roman" w:cs="Courier New"/>
        </w:rPr>
        <w:tab/>
        <w:t>Exhibit B.  Applicant's Master Personnel Records.</w:t>
      </w:r>
    </w:p>
    <w:p w:rsidR="00F74C61" w:rsidRPr="00546E95" w:rsidRDefault="00AC1A6B" w:rsidP="00DF1C06">
      <w:pPr>
        <w:ind w:left="2430" w:hanging="1710"/>
        <w:contextualSpacing/>
        <w:jc w:val="both"/>
        <w:rPr>
          <w:rFonts w:eastAsia="Times New Roman" w:cs="Courier New"/>
        </w:rPr>
      </w:pPr>
      <w:r>
        <w:rPr>
          <w:rFonts w:eastAsia="Times New Roman" w:cs="Courier New"/>
        </w:rPr>
        <w:t>Exhibit C.  Memorandum, AFPC Military Retirements and Separations, dated 10 May 16</w:t>
      </w:r>
      <w:r w:rsidR="00F74C61" w:rsidRPr="00546E95">
        <w:rPr>
          <w:rFonts w:eastAsia="Times New Roman" w:cs="Courier New"/>
        </w:rPr>
        <w:t>.</w:t>
      </w:r>
    </w:p>
    <w:p w:rsidR="00F74C61" w:rsidRDefault="00F74C61" w:rsidP="00AD0F35">
      <w:pPr>
        <w:contextualSpacing/>
        <w:jc w:val="both"/>
        <w:rPr>
          <w:rFonts w:eastAsia="Times New Roman" w:cs="Courier New"/>
        </w:rPr>
      </w:pPr>
      <w:r>
        <w:rPr>
          <w:rFonts w:eastAsia="Times New Roman" w:cs="Courier New"/>
        </w:rPr>
        <w:tab/>
      </w:r>
      <w:r w:rsidRPr="00546E95">
        <w:rPr>
          <w:rFonts w:eastAsia="Times New Roman" w:cs="Courier New"/>
        </w:rPr>
        <w:t>Exhibit D.  L</w:t>
      </w:r>
      <w:r w:rsidR="00AC1A6B">
        <w:rPr>
          <w:rFonts w:eastAsia="Times New Roman" w:cs="Courier New"/>
        </w:rPr>
        <w:t>etter, SAF/MRBR, dated 17 Jun 16</w:t>
      </w:r>
      <w:r w:rsidRPr="00546E95">
        <w:rPr>
          <w:rFonts w:eastAsia="Times New Roman" w:cs="Courier New"/>
        </w:rPr>
        <w:t>.</w:t>
      </w:r>
    </w:p>
    <w:p w:rsidR="00F74C61" w:rsidRDefault="00F74C61" w:rsidP="00AD0F35">
      <w:pPr>
        <w:contextualSpacing/>
        <w:jc w:val="both"/>
        <w:rPr>
          <w:rFonts w:eastAsia="Times New Roman" w:cs="Courier New"/>
        </w:rPr>
      </w:pPr>
    </w:p>
    <w:p w:rsidR="00F74C61" w:rsidRPr="00B67C28" w:rsidRDefault="00F74C61" w:rsidP="00B67C28">
      <w:pPr>
        <w:contextualSpacing/>
        <w:jc w:val="both"/>
        <w:rPr>
          <w:rFonts w:eastAsia="Times New Roman" w:cs="Courier New"/>
        </w:rPr>
      </w:pPr>
      <w:r w:rsidRPr="00B67C28">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rsidR="00F74C61" w:rsidRPr="00546E95" w:rsidRDefault="00F74C61" w:rsidP="00AD0F35">
      <w:pPr>
        <w:contextualSpacing/>
        <w:jc w:val="both"/>
        <w:rPr>
          <w:rFonts w:eastAsia="Times New Roman" w:cs="Courier New"/>
        </w:rPr>
      </w:pPr>
    </w:p>
    <w:p w:rsidR="00F74C61" w:rsidRPr="00546E95" w:rsidRDefault="00F74C61" w:rsidP="00B9309A">
      <w:pPr>
        <w:jc w:val="right"/>
        <w:rPr>
          <w:rFonts w:cs="Courier New"/>
        </w:rPr>
      </w:pPr>
    </w:p>
    <w:p w:rsidR="00F74C61" w:rsidRPr="00546E95" w:rsidRDefault="00F74C61" w:rsidP="0069725B">
      <w:pPr>
        <w:jc w:val="center"/>
        <w:rPr>
          <w:rFonts w:cs="Courier New"/>
        </w:rPr>
      </w:pP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p>
    <w:p w:rsidR="00F74C61" w:rsidRPr="00546E95" w:rsidRDefault="00F74C61"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F74C61"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F74C61" w:rsidRDefault="00F74C61"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F74C61" w:rsidSect="00F54DB7">
          <w:headerReference w:type="default" r:id="rId12"/>
          <w:footerReference w:type="default" r:id="rId13"/>
          <w:type w:val="continuous"/>
          <w:pgSz w:w="12240" w:h="15840"/>
          <w:pgMar w:top="1440" w:right="1350" w:bottom="1440" w:left="1350" w:header="720" w:footer="720" w:gutter="0"/>
          <w:cols w:space="720"/>
          <w:docGrid w:linePitch="360"/>
        </w:sectPr>
      </w:pPr>
    </w:p>
    <w:p w:rsidR="00F74C61" w:rsidRPr="00546E95" w:rsidRDefault="00F74C61"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F74C61" w:rsidRPr="00546E95" w:rsidSect="00F74C61">
      <w:headerReference w:type="default" r:id="rId14"/>
      <w:footerReference w:type="default" r:id="rId15"/>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745" w:rsidRDefault="00B03745" w:rsidP="00562002">
      <w:pPr>
        <w:spacing w:line="240" w:lineRule="auto"/>
      </w:pPr>
      <w:r>
        <w:separator/>
      </w:r>
    </w:p>
  </w:endnote>
  <w:endnote w:type="continuationSeparator" w:id="0">
    <w:p w:rsidR="00B03745" w:rsidRDefault="00B03745"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07" w:rsidRDefault="00537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61" w:rsidRPr="00537B07" w:rsidRDefault="00F74C61" w:rsidP="00537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61" w:rsidRPr="009A1D22" w:rsidRDefault="00F74C61"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61" w:rsidRPr="00537B07" w:rsidRDefault="00F74C61" w:rsidP="00537B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537B07" w:rsidRDefault="00C56DD8" w:rsidP="0053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745" w:rsidRDefault="00B03745" w:rsidP="00562002">
      <w:pPr>
        <w:spacing w:line="240" w:lineRule="auto"/>
      </w:pPr>
      <w:r>
        <w:separator/>
      </w:r>
    </w:p>
  </w:footnote>
  <w:footnote w:type="continuationSeparator" w:id="0">
    <w:p w:rsidR="00B03745" w:rsidRDefault="00B03745"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07" w:rsidRDefault="00537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61" w:rsidRPr="005576D7" w:rsidRDefault="00F74C61"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61" w:rsidRPr="009A1D22" w:rsidRDefault="00F74C61"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61" w:rsidRPr="00537B07" w:rsidRDefault="00F74C61" w:rsidP="00537B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537B07" w:rsidRDefault="00C56DD8" w:rsidP="00537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2538B"/>
    <w:rsid w:val="000423CB"/>
    <w:rsid w:val="00043559"/>
    <w:rsid w:val="00064C10"/>
    <w:rsid w:val="00090567"/>
    <w:rsid w:val="000B2396"/>
    <w:rsid w:val="000B4799"/>
    <w:rsid w:val="000D5C0C"/>
    <w:rsid w:val="0011108A"/>
    <w:rsid w:val="00166688"/>
    <w:rsid w:val="001F6F87"/>
    <w:rsid w:val="00212038"/>
    <w:rsid w:val="00213405"/>
    <w:rsid w:val="0023627E"/>
    <w:rsid w:val="0024368F"/>
    <w:rsid w:val="00262D29"/>
    <w:rsid w:val="002853CA"/>
    <w:rsid w:val="002E444C"/>
    <w:rsid w:val="00302D6B"/>
    <w:rsid w:val="00325F93"/>
    <w:rsid w:val="00375EAC"/>
    <w:rsid w:val="00387D0D"/>
    <w:rsid w:val="003A1C78"/>
    <w:rsid w:val="003C542A"/>
    <w:rsid w:val="003E3220"/>
    <w:rsid w:val="004065E8"/>
    <w:rsid w:val="00470402"/>
    <w:rsid w:val="00472E75"/>
    <w:rsid w:val="004906A6"/>
    <w:rsid w:val="004B52BF"/>
    <w:rsid w:val="004C6E55"/>
    <w:rsid w:val="00520249"/>
    <w:rsid w:val="00533CED"/>
    <w:rsid w:val="005340FC"/>
    <w:rsid w:val="00537182"/>
    <w:rsid w:val="00537B07"/>
    <w:rsid w:val="00546E95"/>
    <w:rsid w:val="005576D7"/>
    <w:rsid w:val="00562002"/>
    <w:rsid w:val="005748DF"/>
    <w:rsid w:val="0065075E"/>
    <w:rsid w:val="0069725B"/>
    <w:rsid w:val="006D7EEF"/>
    <w:rsid w:val="00703A3A"/>
    <w:rsid w:val="0070420D"/>
    <w:rsid w:val="007456C8"/>
    <w:rsid w:val="007A37A5"/>
    <w:rsid w:val="007A7889"/>
    <w:rsid w:val="008251FB"/>
    <w:rsid w:val="00882421"/>
    <w:rsid w:val="008847E4"/>
    <w:rsid w:val="00917835"/>
    <w:rsid w:val="00950B25"/>
    <w:rsid w:val="0098503E"/>
    <w:rsid w:val="009A1D22"/>
    <w:rsid w:val="009C2F98"/>
    <w:rsid w:val="009C5DCE"/>
    <w:rsid w:val="009D60BD"/>
    <w:rsid w:val="009F4695"/>
    <w:rsid w:val="00A13AC5"/>
    <w:rsid w:val="00A30EEB"/>
    <w:rsid w:val="00A65139"/>
    <w:rsid w:val="00A6670F"/>
    <w:rsid w:val="00A7082E"/>
    <w:rsid w:val="00A82F71"/>
    <w:rsid w:val="00AA097D"/>
    <w:rsid w:val="00AB1AE1"/>
    <w:rsid w:val="00AC149F"/>
    <w:rsid w:val="00AC1A6B"/>
    <w:rsid w:val="00AD0F35"/>
    <w:rsid w:val="00AE17A5"/>
    <w:rsid w:val="00B03745"/>
    <w:rsid w:val="00B62CA4"/>
    <w:rsid w:val="00B67C28"/>
    <w:rsid w:val="00B70E84"/>
    <w:rsid w:val="00B9309A"/>
    <w:rsid w:val="00BA6732"/>
    <w:rsid w:val="00BD5077"/>
    <w:rsid w:val="00C12234"/>
    <w:rsid w:val="00C3424C"/>
    <w:rsid w:val="00C44B60"/>
    <w:rsid w:val="00C56DD8"/>
    <w:rsid w:val="00C619E7"/>
    <w:rsid w:val="00CB2308"/>
    <w:rsid w:val="00CF79BF"/>
    <w:rsid w:val="00D13416"/>
    <w:rsid w:val="00D23619"/>
    <w:rsid w:val="00D927CB"/>
    <w:rsid w:val="00DB7014"/>
    <w:rsid w:val="00DF1C06"/>
    <w:rsid w:val="00E4356C"/>
    <w:rsid w:val="00E70352"/>
    <w:rsid w:val="00E913D2"/>
    <w:rsid w:val="00EF4BE3"/>
    <w:rsid w:val="00EF523E"/>
    <w:rsid w:val="00F20D5A"/>
    <w:rsid w:val="00F54DB7"/>
    <w:rsid w:val="00F74C61"/>
    <w:rsid w:val="00F8427A"/>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22102115">
      <w:bodyDiv w:val="1"/>
      <w:marLeft w:val="0"/>
      <w:marRight w:val="0"/>
      <w:marTop w:val="0"/>
      <w:marBottom w:val="0"/>
      <w:divBdr>
        <w:top w:val="none" w:sz="0" w:space="0" w:color="auto"/>
        <w:left w:val="none" w:sz="0" w:space="0" w:color="auto"/>
        <w:bottom w:val="none" w:sz="0" w:space="0" w:color="auto"/>
        <w:right w:val="none" w:sz="0" w:space="0" w:color="auto"/>
      </w:divBdr>
    </w:div>
    <w:div w:id="326440578">
      <w:bodyDiv w:val="1"/>
      <w:marLeft w:val="0"/>
      <w:marRight w:val="0"/>
      <w:marTop w:val="0"/>
      <w:marBottom w:val="0"/>
      <w:divBdr>
        <w:top w:val="none" w:sz="0" w:space="0" w:color="auto"/>
        <w:left w:val="none" w:sz="0" w:space="0" w:color="auto"/>
        <w:bottom w:val="none" w:sz="0" w:space="0" w:color="auto"/>
        <w:right w:val="none" w:sz="0" w:space="0" w:color="auto"/>
      </w:divBdr>
    </w:div>
    <w:div w:id="480662642">
      <w:bodyDiv w:val="1"/>
      <w:marLeft w:val="0"/>
      <w:marRight w:val="0"/>
      <w:marTop w:val="0"/>
      <w:marBottom w:val="0"/>
      <w:divBdr>
        <w:top w:val="none" w:sz="0" w:space="0" w:color="auto"/>
        <w:left w:val="none" w:sz="0" w:space="0" w:color="auto"/>
        <w:bottom w:val="none" w:sz="0" w:space="0" w:color="auto"/>
        <w:right w:val="none" w:sz="0" w:space="0" w:color="auto"/>
      </w:divBdr>
    </w:div>
    <w:div w:id="541868151">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141533666">
      <w:bodyDiv w:val="1"/>
      <w:marLeft w:val="0"/>
      <w:marRight w:val="0"/>
      <w:marTop w:val="0"/>
      <w:marBottom w:val="0"/>
      <w:divBdr>
        <w:top w:val="none" w:sz="0" w:space="0" w:color="auto"/>
        <w:left w:val="none" w:sz="0" w:space="0" w:color="auto"/>
        <w:bottom w:val="none" w:sz="0" w:space="0" w:color="auto"/>
        <w:right w:val="none" w:sz="0" w:space="0" w:color="auto"/>
      </w:divBdr>
    </w:div>
    <w:div w:id="1362320832">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 w:id="21267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2021-08-24T15:47:00Z</dcterms:created>
  <dcterms:modified xsi:type="dcterms:W3CDTF">2021-08-24T15:47:00Z</dcterms:modified>
</cp:coreProperties>
</file>