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97" w:rsidRPr="00546E95" w:rsidRDefault="0054009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rsidR="00540097" w:rsidRPr="00546E95" w:rsidRDefault="00540097" w:rsidP="00AD0F35">
      <w:pPr>
        <w:contextualSpacing/>
        <w:jc w:val="center"/>
        <w:rPr>
          <w:rFonts w:eastAsia="Times New Roman" w:cs="Courier New"/>
        </w:rPr>
      </w:pPr>
      <w:r w:rsidRPr="00546E95">
        <w:rPr>
          <w:rFonts w:eastAsia="Times New Roman" w:cs="Courier New"/>
        </w:rPr>
        <w:t>AIR FORCE BOARD FOR CORRECTION OF MILITARY RECORDS</w:t>
      </w:r>
    </w:p>
    <w:p w:rsidR="00540097" w:rsidRPr="00546E95" w:rsidRDefault="00540097" w:rsidP="00AD0F35">
      <w:pPr>
        <w:contextualSpacing/>
        <w:rPr>
          <w:rFonts w:eastAsia="Times New Roman" w:cs="Courier New"/>
        </w:rPr>
      </w:pPr>
    </w:p>
    <w:p w:rsidR="00540097" w:rsidRPr="00546E95" w:rsidRDefault="00540097" w:rsidP="00AD0F35">
      <w:pPr>
        <w:contextualSpacing/>
        <w:rPr>
          <w:rFonts w:eastAsia="Times New Roman" w:cs="Courier New"/>
        </w:rPr>
      </w:pPr>
    </w:p>
    <w:p w:rsidR="00540097" w:rsidRPr="00546E95" w:rsidRDefault="00540097"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B96076">
        <w:rPr>
          <w:rFonts w:cs="Courier New"/>
          <w:bCs/>
          <w:noProof/>
        </w:rPr>
        <w:t>BC-2016-00456</w:t>
      </w:r>
    </w:p>
    <w:p w:rsidR="00540097" w:rsidRPr="00546E95" w:rsidRDefault="00540097" w:rsidP="00AD0F35">
      <w:pPr>
        <w:contextualSpacing/>
        <w:rPr>
          <w:rFonts w:cs="Courier New"/>
        </w:rPr>
      </w:pPr>
    </w:p>
    <w:p w:rsidR="00540097" w:rsidRPr="00546E95" w:rsidRDefault="007770CA" w:rsidP="00AD0F35">
      <w:pPr>
        <w:contextualSpacing/>
        <w:jc w:val="both"/>
        <w:rPr>
          <w:rFonts w:cs="Courier New"/>
        </w:rPr>
      </w:pPr>
      <w:r>
        <w:rPr>
          <w:rFonts w:cs="Courier New"/>
          <w:bCs/>
          <w:noProof/>
        </w:rPr>
        <w:t xml:space="preserve">   </w:t>
      </w:r>
      <w:r w:rsidR="00E44A68">
        <w:rPr>
          <w:rFonts w:cs="Courier New"/>
          <w:bCs/>
          <w:noProof/>
        </w:rPr>
        <w:tab/>
      </w:r>
      <w:r w:rsidR="00E44A68">
        <w:rPr>
          <w:rFonts w:cs="Courier New"/>
          <w:bCs/>
          <w:noProof/>
        </w:rPr>
        <w:tab/>
      </w:r>
      <w:r w:rsidR="00E44A68">
        <w:rPr>
          <w:rFonts w:cs="Courier New"/>
          <w:bCs/>
          <w:noProof/>
        </w:rPr>
        <w:tab/>
      </w:r>
      <w:r w:rsidR="00E44A68">
        <w:rPr>
          <w:rFonts w:cs="Courier New"/>
          <w:bCs/>
          <w:noProof/>
        </w:rPr>
        <w:tab/>
      </w:r>
      <w:r w:rsidR="00540097" w:rsidRPr="00546E95">
        <w:rPr>
          <w:rFonts w:cs="Courier New"/>
          <w:bCs/>
        </w:rPr>
        <w:tab/>
      </w:r>
      <w:r w:rsidR="00540097">
        <w:rPr>
          <w:rFonts w:cs="Courier New"/>
          <w:bCs/>
        </w:rPr>
        <w:tab/>
      </w:r>
      <w:r w:rsidR="00540097" w:rsidRPr="00546E95">
        <w:rPr>
          <w:rFonts w:eastAsia="Times New Roman" w:cs="Courier New"/>
        </w:rPr>
        <w:t>COUNSEL:  NONE</w:t>
      </w:r>
    </w:p>
    <w:p w:rsidR="00540097" w:rsidRPr="00546E95" w:rsidRDefault="00540097" w:rsidP="00AD0F35">
      <w:pPr>
        <w:contextualSpacing/>
        <w:rPr>
          <w:rFonts w:eastAsia="Times New Roman" w:cs="Courier New"/>
        </w:rPr>
      </w:pPr>
    </w:p>
    <w:p w:rsidR="00540097" w:rsidRPr="00546E95" w:rsidRDefault="00540097"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540097" w:rsidRPr="00546E95" w:rsidRDefault="00540097" w:rsidP="00AD0F35">
      <w:pPr>
        <w:contextualSpacing/>
        <w:rPr>
          <w:rFonts w:eastAsia="Times New Roman" w:cs="Courier New"/>
        </w:rPr>
      </w:pPr>
    </w:p>
    <w:p w:rsidR="00540097" w:rsidRPr="00546E95" w:rsidRDefault="00540097" w:rsidP="00AD0F35">
      <w:pPr>
        <w:pBdr>
          <w:bottom w:val="single" w:sz="6" w:space="1" w:color="auto"/>
        </w:pBdr>
        <w:contextualSpacing/>
        <w:rPr>
          <w:rFonts w:eastAsia="Times New Roman" w:cs="Courier New"/>
        </w:rPr>
      </w:pP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7770CA" w:rsidP="00AD0F35">
      <w:pPr>
        <w:pBdr>
          <w:bottom w:val="single" w:sz="6" w:space="1" w:color="auto"/>
        </w:pBdr>
        <w:contextualSpacing/>
        <w:jc w:val="both"/>
        <w:rPr>
          <w:rFonts w:eastAsia="Times New Roman" w:cs="Courier New"/>
        </w:rPr>
      </w:pPr>
      <w:r>
        <w:rPr>
          <w:rFonts w:eastAsia="Times New Roman" w:cs="Courier New"/>
        </w:rPr>
        <w:t>He be authorized to transfer his Post-9/11 GI Bill Educational Benefits (TEB) to his son.</w:t>
      </w:r>
    </w:p>
    <w:p w:rsidR="00540097" w:rsidRPr="00546E95" w:rsidRDefault="00540097" w:rsidP="00AD0F35">
      <w:pPr>
        <w:pBdr>
          <w:bottom w:val="single" w:sz="6" w:space="1" w:color="auto"/>
        </w:pBdr>
        <w:contextualSpacing/>
        <w:jc w:val="both"/>
        <w:rPr>
          <w:rFonts w:eastAsia="Times New Roman" w:cs="Courier New"/>
        </w:rPr>
      </w:pP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7770CA" w:rsidP="00AD0F35">
      <w:pPr>
        <w:contextualSpacing/>
        <w:jc w:val="both"/>
        <w:rPr>
          <w:rFonts w:eastAsia="Times New Roman" w:cs="Courier New"/>
        </w:rPr>
      </w:pPr>
      <w:r>
        <w:rPr>
          <w:rFonts w:eastAsia="Times New Roman" w:cs="Courier New"/>
        </w:rPr>
        <w:t xml:space="preserve">He failed to realize he had to name his son as eligible for TEB when he was on active duty.  He only named his daughter, and she will not need all of his benefits. </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The applicant’s complete submission, with attachments, is at Exhibit A.</w:t>
      </w:r>
    </w:p>
    <w:p w:rsidR="00540097" w:rsidRPr="00546E95" w:rsidRDefault="00540097" w:rsidP="00AD0F35">
      <w:pPr>
        <w:pBdr>
          <w:bottom w:val="single" w:sz="6" w:space="1" w:color="auto"/>
        </w:pBdr>
        <w:contextualSpacing/>
        <w:jc w:val="both"/>
        <w:rPr>
          <w:rFonts w:eastAsia="Times New Roman" w:cs="Courier New"/>
        </w:rPr>
      </w:pP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 xml:space="preserve">The applicant </w:t>
      </w:r>
      <w:r w:rsidR="00F24DEA">
        <w:rPr>
          <w:rFonts w:eastAsia="Times New Roman" w:cs="Courier New"/>
        </w:rPr>
        <w:t>served</w:t>
      </w:r>
      <w:r w:rsidRPr="00546E95">
        <w:rPr>
          <w:rFonts w:eastAsia="Times New Roman" w:cs="Courier New"/>
        </w:rPr>
        <w:t xml:space="preserve"> th</w:t>
      </w:r>
      <w:r w:rsidR="00F24DEA">
        <w:rPr>
          <w:rFonts w:eastAsia="Times New Roman" w:cs="Courier New"/>
        </w:rPr>
        <w:t>e Regular Air Force</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On</w:t>
      </w:r>
      <w:r w:rsidR="00032B81">
        <w:rPr>
          <w:rFonts w:eastAsia="Times New Roman" w:cs="Courier New"/>
        </w:rPr>
        <w:t xml:space="preserve"> 30 Jun 14</w:t>
      </w:r>
      <w:r w:rsidRPr="00546E95">
        <w:rPr>
          <w:rFonts w:eastAsia="Times New Roman" w:cs="Courier New"/>
        </w:rPr>
        <w:t>, the applicant was furnished an honorable dis</w:t>
      </w:r>
      <w:r w:rsidR="00032B81">
        <w:rPr>
          <w:rFonts w:eastAsia="Times New Roman" w:cs="Courier New"/>
        </w:rPr>
        <w:t>charge, and was credited with 20 years, 8 months, and 12</w:t>
      </w:r>
      <w:r w:rsidRPr="00546E95">
        <w:rPr>
          <w:rFonts w:eastAsia="Times New Roman" w:cs="Courier New"/>
        </w:rPr>
        <w:t xml:space="preserve"> days of</w:t>
      </w:r>
      <w:r w:rsidR="00032B81">
        <w:rPr>
          <w:rFonts w:eastAsia="Times New Roman" w:cs="Courier New"/>
        </w:rPr>
        <w:t xml:space="preserve"> total</w:t>
      </w:r>
      <w:r w:rsidRPr="00546E95">
        <w:rPr>
          <w:rFonts w:eastAsia="Times New Roman" w:cs="Courier New"/>
        </w:rPr>
        <w:t xml:space="preserve"> active service.   </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 xml:space="preserve">The remaining relevant facts pertaining to this application are contained in the memorandum prepared by the Air Force office of primary responsibility (OPR), which is attached at Exhibit C.    </w:t>
      </w:r>
    </w:p>
    <w:p w:rsidR="00540097" w:rsidRPr="00546E95" w:rsidRDefault="00540097" w:rsidP="00AD0F35">
      <w:pPr>
        <w:pBdr>
          <w:bottom w:val="single" w:sz="6" w:space="1" w:color="auto"/>
        </w:pBdr>
        <w:contextualSpacing/>
        <w:jc w:val="both"/>
        <w:rPr>
          <w:rFonts w:eastAsia="Times New Roman" w:cs="Courier New"/>
        </w:rPr>
      </w:pPr>
    </w:p>
    <w:p w:rsidR="00540097" w:rsidRPr="00546E95" w:rsidRDefault="00540097" w:rsidP="00AD0F35">
      <w:pPr>
        <w:contextualSpacing/>
        <w:jc w:val="both"/>
        <w:rPr>
          <w:rFonts w:eastAsia="Times New Roman" w:cs="Courier New"/>
          <w:u w:val="single"/>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7770CA" w:rsidRDefault="007770CA" w:rsidP="007770CA">
      <w:pPr>
        <w:contextualSpacing/>
        <w:jc w:val="both"/>
      </w:pPr>
      <w:r w:rsidRPr="00546E95">
        <w:rPr>
          <w:rFonts w:eastAsia="Times New Roman" w:cs="Courier New"/>
        </w:rPr>
        <w:t>AFPC/D</w:t>
      </w:r>
      <w:r>
        <w:rPr>
          <w:rFonts w:eastAsia="Times New Roman" w:cs="Courier New"/>
        </w:rPr>
        <w:t>PTT</w:t>
      </w:r>
      <w:r w:rsidR="00540097" w:rsidRPr="00546E95">
        <w:rPr>
          <w:rFonts w:eastAsia="Times New Roman" w:cs="Courier New"/>
        </w:rPr>
        <w:t xml:space="preserve"> recommends denial indicating there is no evidence of an error or an injustice.  </w:t>
      </w:r>
      <w:r>
        <w:rPr>
          <w:snapToGrid w:val="0"/>
        </w:rPr>
        <w:t>On 30 Nov 09, the applicant was approved for Post-9/11 GI Bill transfer.  The applica</w:t>
      </w:r>
      <w:r w:rsidR="0004559F">
        <w:rPr>
          <w:snapToGrid w:val="0"/>
        </w:rPr>
        <w:t>nt</w:t>
      </w:r>
      <w:r w:rsidR="00D25205">
        <w:rPr>
          <w:snapToGrid w:val="0"/>
        </w:rPr>
        <w:t>’</w:t>
      </w:r>
      <w:r w:rsidR="0004559F">
        <w:rPr>
          <w:snapToGrid w:val="0"/>
        </w:rPr>
        <w:t xml:space="preserve">s approval form reflects </w:t>
      </w:r>
      <w:r>
        <w:rPr>
          <w:snapToGrid w:val="0"/>
        </w:rPr>
        <w:t xml:space="preserve">he transferred the full 36 months of the benefit to his daughter.  </w:t>
      </w:r>
      <w:r>
        <w:t xml:space="preserve">In accordance with </w:t>
      </w:r>
      <w:r w:rsidR="00032B81">
        <w:t xml:space="preserve">(IAW) </w:t>
      </w:r>
      <w:r>
        <w:t xml:space="preserve">DoDI 1341.13, </w:t>
      </w:r>
      <w:r w:rsidR="00032B81" w:rsidRPr="00032B81">
        <w:rPr>
          <w:i/>
        </w:rPr>
        <w:t>Post-9/11 GI Bill</w:t>
      </w:r>
      <w:r w:rsidR="00032B81">
        <w:t xml:space="preserve">, </w:t>
      </w:r>
      <w:r>
        <w:t xml:space="preserve">Enclosure 3, f, (2), 2., an individual may not add family members after retirement or separation from the Military Services, but may modify the number of months of the transferred entitlement or revoke transfer of entitlement after retirement or separation </w:t>
      </w:r>
      <w:r>
        <w:lastRenderedPageBreak/>
        <w:t xml:space="preserve">for those family members who have received transferred benefits prior to separation or retirement. </w:t>
      </w:r>
    </w:p>
    <w:p w:rsidR="007770CA" w:rsidRDefault="007770CA" w:rsidP="007770CA">
      <w:pPr>
        <w:autoSpaceDE w:val="0"/>
        <w:autoSpaceDN w:val="0"/>
        <w:adjustRightInd w:val="0"/>
        <w:jc w:val="both"/>
      </w:pPr>
    </w:p>
    <w:p w:rsidR="007770CA" w:rsidRDefault="00D25205" w:rsidP="0004559F">
      <w:pPr>
        <w:autoSpaceDE w:val="0"/>
        <w:autoSpaceDN w:val="0"/>
        <w:adjustRightInd w:val="0"/>
        <w:jc w:val="both"/>
        <w:rPr>
          <w:rFonts w:ascii="Times New Roman" w:hAnsi="Times New Roman"/>
        </w:rPr>
      </w:pPr>
      <w:r>
        <w:rPr>
          <w:snapToGrid w:val="0"/>
        </w:rPr>
        <w:t>R</w:t>
      </w:r>
      <w:r w:rsidR="007770CA">
        <w:rPr>
          <w:snapToGrid w:val="0"/>
        </w:rPr>
        <w:t xml:space="preserve">ecommend disapproval.  </w:t>
      </w:r>
      <w:r w:rsidR="00032B81">
        <w:rPr>
          <w:snapToGrid w:val="0"/>
        </w:rPr>
        <w:t>IAW</w:t>
      </w:r>
      <w:r w:rsidR="007770CA">
        <w:rPr>
          <w:snapToGrid w:val="0"/>
        </w:rPr>
        <w:t xml:space="preserve"> DoDI 1341.13, the applicant had the opportunity to provide at least one month of benefits to all dependents listed in his DEERS record. </w:t>
      </w:r>
      <w:r w:rsidR="00032B81">
        <w:rPr>
          <w:snapToGrid w:val="0"/>
        </w:rPr>
        <w:t xml:space="preserve"> To grant relief would be contrary to the criteria established by DoD Instruction.</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 xml:space="preserve">A complete copy of the </w:t>
      </w:r>
      <w:r w:rsidR="007770CA" w:rsidRPr="00546E95">
        <w:rPr>
          <w:rFonts w:eastAsia="Times New Roman" w:cs="Courier New"/>
        </w:rPr>
        <w:t>AFPC/D</w:t>
      </w:r>
      <w:r w:rsidR="007770CA">
        <w:rPr>
          <w:rFonts w:eastAsia="Times New Roman" w:cs="Courier New"/>
        </w:rPr>
        <w:t>PTT</w:t>
      </w:r>
      <w:r w:rsidRPr="00546E95">
        <w:rPr>
          <w:rFonts w:eastAsia="Times New Roman" w:cs="Courier New"/>
        </w:rPr>
        <w:t xml:space="preserve"> evaluation is at Exhibit C.</w:t>
      </w:r>
    </w:p>
    <w:p w:rsidR="00540097" w:rsidRPr="00546E95" w:rsidRDefault="00540097" w:rsidP="00AD0F35">
      <w:pPr>
        <w:pBdr>
          <w:bottom w:val="single" w:sz="6" w:space="1" w:color="auto"/>
        </w:pBdr>
        <w:contextualSpacing/>
        <w:jc w:val="both"/>
        <w:rPr>
          <w:rFonts w:eastAsia="Times New Roman" w:cs="Courier New"/>
        </w:rPr>
      </w:pPr>
    </w:p>
    <w:p w:rsidR="00540097" w:rsidRPr="00546E95" w:rsidRDefault="00540097" w:rsidP="00AD0F35">
      <w:pPr>
        <w:contextualSpacing/>
        <w:jc w:val="both"/>
        <w:rPr>
          <w:rFonts w:eastAsia="Times New Roman" w:cs="Courier New"/>
          <w:u w:val="single"/>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A copy</w:t>
      </w:r>
      <w:r w:rsidR="007770CA">
        <w:rPr>
          <w:rFonts w:eastAsia="Times New Roman" w:cs="Courier New"/>
        </w:rPr>
        <w:t xml:space="preserve"> of the Air Force evaluation was</w:t>
      </w:r>
      <w:r w:rsidRPr="00546E95">
        <w:rPr>
          <w:rFonts w:eastAsia="Times New Roman" w:cs="Courier New"/>
        </w:rPr>
        <w:t xml:space="preserve"> forwarded to the applicant on </w:t>
      </w:r>
      <w:r w:rsidR="007770CA">
        <w:rPr>
          <w:bCs/>
          <w:noProof/>
        </w:rPr>
        <w:t>7 Sep 16</w:t>
      </w:r>
      <w:r w:rsidRPr="00546E95">
        <w:rPr>
          <w:rFonts w:eastAsia="Times New Roman" w:cs="Courier New"/>
        </w:rPr>
        <w:t xml:space="preserve"> for review and comment within 30 days (Exhibit D).  As of this date, no response has been received by this office.</w:t>
      </w:r>
    </w:p>
    <w:p w:rsidR="00540097" w:rsidRPr="00546E95" w:rsidRDefault="00540097" w:rsidP="00AD0F35">
      <w:pPr>
        <w:pBdr>
          <w:bottom w:val="single" w:sz="6" w:space="1" w:color="auto"/>
        </w:pBdr>
        <w:contextualSpacing/>
        <w:jc w:val="both"/>
        <w:rPr>
          <w:rFonts w:eastAsia="Times New Roman" w:cs="Courier New"/>
        </w:rPr>
      </w:pPr>
    </w:p>
    <w:p w:rsidR="00540097" w:rsidRPr="00546E95" w:rsidRDefault="00540097" w:rsidP="00AD0F35">
      <w:pPr>
        <w:contextualSpacing/>
        <w:rPr>
          <w:rFonts w:eastAsia="Times New Roman" w:cs="Courier New"/>
          <w:u w:val="single"/>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1.  The applicant has exhausted all remedies provided by existing law or regulations.</w:t>
      </w:r>
    </w:p>
    <w:p w:rsidR="00540097" w:rsidRPr="00546E95" w:rsidRDefault="00540097" w:rsidP="00AD0F35">
      <w:pPr>
        <w:contextualSpacing/>
        <w:jc w:val="both"/>
        <w:rPr>
          <w:rFonts w:eastAsia="Times New Roman" w:cs="Courier New"/>
        </w:rPr>
      </w:pPr>
    </w:p>
    <w:p w:rsidR="00540097" w:rsidRPr="0001140C" w:rsidRDefault="00540097" w:rsidP="0001140C">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rsidR="00540097" w:rsidRPr="00546E95" w:rsidRDefault="00540097" w:rsidP="00AD0F35">
      <w:pPr>
        <w:contextualSpacing/>
        <w:jc w:val="both"/>
        <w:rPr>
          <w:rFonts w:eastAsia="Calibri" w:cs="Courier New"/>
        </w:rPr>
      </w:pPr>
    </w:p>
    <w:p w:rsidR="00540097" w:rsidRPr="00546E95" w:rsidRDefault="00540097" w:rsidP="00AD0F35">
      <w:pPr>
        <w:contextualSpacing/>
        <w:jc w:val="both"/>
        <w:rPr>
          <w:rFonts w:eastAsia="Calibri" w:cs="Courier New"/>
        </w:rPr>
      </w:pPr>
      <w:r w:rsidRPr="00546E95">
        <w:rPr>
          <w:rFonts w:eastAsia="Calibri" w:cs="Courier New"/>
        </w:rPr>
        <w:t xml:space="preserve">3.  Insufficient relevant evidence has been presented to demonstrate the existence of an error or injustice.  We took notice of the applicant’s complete submission in judging the merits of the case; however, we agree with the opinion and recommendation of </w:t>
      </w:r>
      <w:r w:rsidR="007770CA" w:rsidRPr="00546E95">
        <w:rPr>
          <w:rFonts w:eastAsia="Times New Roman" w:cs="Courier New"/>
        </w:rPr>
        <w:t>AFPC/D</w:t>
      </w:r>
      <w:r w:rsidR="007770CA">
        <w:rPr>
          <w:rFonts w:eastAsia="Times New Roman" w:cs="Courier New"/>
        </w:rPr>
        <w:t>PTT</w:t>
      </w:r>
      <w:r w:rsidRPr="00546E95">
        <w:rPr>
          <w:rFonts w:eastAsia="Calibri" w:cs="Courier New"/>
        </w:rPr>
        <w:t xml:space="preserve"> and adopt its rationale as the basis for our conclusion the applicant has not been the victim of an error o</w:t>
      </w:r>
      <w:r w:rsidR="000B59C9">
        <w:rPr>
          <w:rFonts w:eastAsia="Calibri" w:cs="Courier New"/>
        </w:rPr>
        <w:t>r</w:t>
      </w:r>
      <w:r w:rsidRPr="00546E95">
        <w:rPr>
          <w:rFonts w:eastAsia="Calibri" w:cs="Courier New"/>
        </w:rPr>
        <w:t xml:space="preserve"> injustice.  Therefore, in the absence of evidence to the contrary, we find no basis to recommend granting the requested relief.</w:t>
      </w:r>
    </w:p>
    <w:p w:rsidR="00540097" w:rsidRPr="00546E95" w:rsidRDefault="00540097" w:rsidP="00AD0F35">
      <w:pPr>
        <w:pBdr>
          <w:bottom w:val="single" w:sz="6" w:space="1" w:color="auto"/>
        </w:pBdr>
        <w:contextualSpacing/>
        <w:jc w:val="both"/>
        <w:rPr>
          <w:rFonts w:eastAsia="Calibri" w:cs="Courier New"/>
        </w:rPr>
      </w:pPr>
    </w:p>
    <w:p w:rsidR="00540097" w:rsidRPr="00546E95" w:rsidRDefault="00540097" w:rsidP="00AD0F35">
      <w:pPr>
        <w:contextualSpacing/>
        <w:jc w:val="both"/>
        <w:rPr>
          <w:rFonts w:eastAsia="Times New Roman" w:cs="Courier New"/>
          <w:u w:val="single"/>
        </w:rPr>
      </w:pPr>
    </w:p>
    <w:p w:rsidR="00540097" w:rsidRPr="00546E95" w:rsidRDefault="00540097" w:rsidP="00AD0F35">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540097" w:rsidRPr="00546E95" w:rsidRDefault="00540097" w:rsidP="00AD0F35">
      <w:pPr>
        <w:pBdr>
          <w:bottom w:val="single" w:sz="6" w:space="1" w:color="auto"/>
        </w:pBdr>
        <w:contextualSpacing/>
        <w:jc w:val="both"/>
        <w:rPr>
          <w:rFonts w:eastAsia="Times New Roman" w:cs="Courier New"/>
          <w:u w:val="single"/>
        </w:rPr>
      </w:pPr>
    </w:p>
    <w:p w:rsidR="00540097" w:rsidRPr="00546E95" w:rsidRDefault="00540097" w:rsidP="00AD0F35">
      <w:pPr>
        <w:contextualSpacing/>
        <w:rPr>
          <w:rFonts w:eastAsia="Times New Roman" w:cs="Courier New"/>
        </w:rPr>
      </w:pPr>
    </w:p>
    <w:p w:rsidR="00540097" w:rsidRPr="00546E95" w:rsidRDefault="00540097" w:rsidP="00AD0F35">
      <w:pPr>
        <w:contextualSpacing/>
        <w:jc w:val="both"/>
        <w:rPr>
          <w:rFonts w:cs="Courier New"/>
          <w:bCs/>
        </w:rPr>
      </w:pPr>
      <w:r w:rsidRPr="00546E95">
        <w:rPr>
          <w:rFonts w:eastAsia="Times New Roman" w:cs="Courier New"/>
        </w:rPr>
        <w:t xml:space="preserve">The following members of the Board considered AFBCMR Docket Number </w:t>
      </w:r>
      <w:r w:rsidRPr="00B96076">
        <w:rPr>
          <w:rFonts w:cs="Courier New"/>
          <w:bCs/>
          <w:noProof/>
        </w:rPr>
        <w:t>BC-2016-00456</w:t>
      </w:r>
      <w:r w:rsidRPr="00546E95">
        <w:rPr>
          <w:rFonts w:cs="Courier New"/>
        </w:rPr>
        <w:t xml:space="preserve"> </w:t>
      </w:r>
      <w:r w:rsidRPr="00546E95">
        <w:rPr>
          <w:rFonts w:eastAsia="Times New Roman" w:cs="Courier New"/>
        </w:rPr>
        <w:t xml:space="preserve">in Executive Session on </w:t>
      </w:r>
      <w:r w:rsidR="007770CA">
        <w:rPr>
          <w:rFonts w:eastAsia="Times New Roman" w:cs="Courier New"/>
        </w:rPr>
        <w:t>30 Mar 17</w:t>
      </w:r>
      <w:r w:rsidRPr="00546E95">
        <w:rPr>
          <w:rFonts w:cs="Courier New"/>
          <w:bCs/>
        </w:rPr>
        <w:t xml:space="preserve"> </w:t>
      </w:r>
      <w:r w:rsidRPr="00546E95">
        <w:rPr>
          <w:rFonts w:eastAsia="Times New Roman" w:cs="Courier New"/>
        </w:rPr>
        <w:t>under the provisions of AFI 36-2603:</w:t>
      </w:r>
    </w:p>
    <w:p w:rsidR="00540097" w:rsidRPr="00546E95" w:rsidRDefault="00540097" w:rsidP="00AD0F35">
      <w:pPr>
        <w:contextualSpacing/>
        <w:jc w:val="both"/>
        <w:rPr>
          <w:rFonts w:eastAsia="Times New Roman" w:cs="Courier New"/>
        </w:rPr>
      </w:pPr>
    </w:p>
    <w:p w:rsidR="00D25205" w:rsidRDefault="00D25205" w:rsidP="00D25205">
      <w:pPr>
        <w:tabs>
          <w:tab w:val="left" w:pos="720"/>
          <w:tab w:val="left" w:pos="4752"/>
        </w:tabs>
        <w:jc w:val="both"/>
        <w:rPr>
          <w:rFonts w:cs="Courier New"/>
        </w:rPr>
      </w:pPr>
      <w:r>
        <w:rPr>
          <w:rFonts w:cs="Courier New"/>
        </w:rPr>
        <w:tab/>
        <w:t>Panel Chair</w:t>
      </w:r>
    </w:p>
    <w:p w:rsidR="00D25205" w:rsidRDefault="00D25205" w:rsidP="00D25205">
      <w:pPr>
        <w:tabs>
          <w:tab w:val="left" w:pos="720"/>
          <w:tab w:val="left" w:pos="4752"/>
        </w:tabs>
        <w:jc w:val="both"/>
        <w:rPr>
          <w:rFonts w:cs="Courier New"/>
        </w:rPr>
      </w:pPr>
      <w:r>
        <w:rPr>
          <w:rFonts w:cs="Courier New"/>
        </w:rPr>
        <w:tab/>
        <w:t>Member</w:t>
      </w:r>
    </w:p>
    <w:p w:rsidR="00D25205" w:rsidRDefault="00D25205" w:rsidP="00D25205">
      <w:pPr>
        <w:tabs>
          <w:tab w:val="left" w:pos="720"/>
          <w:tab w:val="left" w:pos="4752"/>
        </w:tabs>
        <w:jc w:val="both"/>
        <w:rPr>
          <w:rFonts w:cs="Courier New"/>
        </w:rPr>
      </w:pPr>
      <w:r>
        <w:rPr>
          <w:rFonts w:cs="Courier New"/>
        </w:rPr>
        <w:tab/>
        <w:t>Member</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lastRenderedPageBreak/>
        <w:t xml:space="preserve">The following documentary evidence pertaining </w:t>
      </w:r>
      <w:r>
        <w:rPr>
          <w:rFonts w:eastAsia="Times New Roman" w:cs="Courier New"/>
        </w:rPr>
        <w:t xml:space="preserve">to </w:t>
      </w:r>
      <w:r w:rsidRPr="00546E95">
        <w:rPr>
          <w:rFonts w:eastAsia="Times New Roman" w:cs="Courier New"/>
        </w:rPr>
        <w:t xml:space="preserve">AFBCMR Docket Number </w:t>
      </w:r>
      <w:r w:rsidRPr="00B96076">
        <w:rPr>
          <w:rFonts w:eastAsia="Times New Roman" w:cs="Courier New"/>
          <w:bCs/>
          <w:noProof/>
        </w:rPr>
        <w:t>BC-2016-00456</w:t>
      </w:r>
      <w:r w:rsidRPr="00546E95">
        <w:rPr>
          <w:rFonts w:eastAsia="Times New Roman" w:cs="Courier New"/>
        </w:rPr>
        <w:t xml:space="preserve"> was considered:</w:t>
      </w:r>
    </w:p>
    <w:p w:rsidR="00540097" w:rsidRPr="00546E95" w:rsidRDefault="00540097" w:rsidP="00AD0F35">
      <w:pPr>
        <w:contextualSpacing/>
        <w:jc w:val="both"/>
        <w:rPr>
          <w:rFonts w:eastAsia="Times New Roman" w:cs="Courier New"/>
        </w:rPr>
      </w:pPr>
    </w:p>
    <w:p w:rsidR="00540097" w:rsidRPr="00546E95" w:rsidRDefault="00540097" w:rsidP="00AD0F35">
      <w:pPr>
        <w:contextualSpacing/>
        <w:jc w:val="both"/>
        <w:rPr>
          <w:rFonts w:eastAsia="Times New Roman" w:cs="Courier New"/>
        </w:rPr>
      </w:pPr>
      <w:r w:rsidRPr="00546E95">
        <w:rPr>
          <w:rFonts w:eastAsia="Times New Roman" w:cs="Courier New"/>
        </w:rPr>
        <w:tab/>
        <w:t xml:space="preserve">Exhibit A.  DD Form 149, dated </w:t>
      </w:r>
      <w:r w:rsidR="007770CA">
        <w:rPr>
          <w:rFonts w:eastAsia="Times New Roman" w:cs="Courier New"/>
        </w:rPr>
        <w:t>29 Jan 16</w:t>
      </w:r>
      <w:r w:rsidRPr="00546E95">
        <w:rPr>
          <w:rFonts w:eastAsia="Times New Roman" w:cs="Courier New"/>
        </w:rPr>
        <w:t>, w/atchs.</w:t>
      </w:r>
    </w:p>
    <w:p w:rsidR="00540097" w:rsidRPr="00546E95" w:rsidRDefault="00540097" w:rsidP="00AD0F35">
      <w:pPr>
        <w:contextualSpacing/>
        <w:jc w:val="both"/>
        <w:rPr>
          <w:rFonts w:eastAsia="Times New Roman" w:cs="Courier New"/>
        </w:rPr>
      </w:pPr>
      <w:r w:rsidRPr="00546E95">
        <w:rPr>
          <w:rFonts w:eastAsia="Times New Roman" w:cs="Courier New"/>
        </w:rPr>
        <w:tab/>
        <w:t>Exhibit B.  Applicant's Master Personnel Records.</w:t>
      </w:r>
    </w:p>
    <w:p w:rsidR="00540097" w:rsidRPr="00546E95" w:rsidRDefault="00540097" w:rsidP="00AD0F35">
      <w:pPr>
        <w:contextualSpacing/>
        <w:jc w:val="both"/>
        <w:rPr>
          <w:rFonts w:eastAsia="Times New Roman" w:cs="Courier New"/>
        </w:rPr>
      </w:pPr>
      <w:r w:rsidRPr="00546E95">
        <w:rPr>
          <w:rFonts w:eastAsia="Times New Roman" w:cs="Courier New"/>
        </w:rPr>
        <w:tab/>
        <w:t>Exhibit C.  Memorandum, AFPC/D</w:t>
      </w:r>
      <w:r w:rsidR="007770CA">
        <w:rPr>
          <w:rFonts w:eastAsia="Times New Roman" w:cs="Courier New"/>
        </w:rPr>
        <w:t>PTT, dated 5 Apr 16</w:t>
      </w:r>
      <w:r w:rsidRPr="00546E95">
        <w:rPr>
          <w:rFonts w:eastAsia="Times New Roman" w:cs="Courier New"/>
        </w:rPr>
        <w:t>.</w:t>
      </w:r>
    </w:p>
    <w:p w:rsidR="00540097" w:rsidRDefault="00540097" w:rsidP="00AD0F35">
      <w:pPr>
        <w:contextualSpacing/>
        <w:jc w:val="both"/>
        <w:rPr>
          <w:rFonts w:eastAsia="Times New Roman" w:cs="Courier New"/>
        </w:rPr>
      </w:pPr>
      <w:r>
        <w:rPr>
          <w:rFonts w:eastAsia="Times New Roman" w:cs="Courier New"/>
        </w:rPr>
        <w:tab/>
      </w:r>
      <w:r w:rsidRPr="00546E95">
        <w:rPr>
          <w:rFonts w:eastAsia="Times New Roman" w:cs="Courier New"/>
        </w:rPr>
        <w:t xml:space="preserve">Exhibit D.  Letter, SAF/MRBR, dated </w:t>
      </w:r>
      <w:r w:rsidR="007770CA">
        <w:rPr>
          <w:bCs/>
          <w:noProof/>
        </w:rPr>
        <w:t>7 Sep 16</w:t>
      </w:r>
      <w:r w:rsidRPr="00546E95">
        <w:rPr>
          <w:rFonts w:eastAsia="Times New Roman" w:cs="Courier New"/>
        </w:rPr>
        <w:t>.</w:t>
      </w:r>
    </w:p>
    <w:p w:rsidR="00540097" w:rsidRDefault="00540097" w:rsidP="00AD0F35">
      <w:pPr>
        <w:contextualSpacing/>
        <w:jc w:val="both"/>
        <w:rPr>
          <w:rFonts w:eastAsia="Times New Roman" w:cs="Courier New"/>
        </w:rPr>
      </w:pPr>
    </w:p>
    <w:p w:rsidR="00540097" w:rsidRPr="00B67C28" w:rsidRDefault="00540097" w:rsidP="00B67C28">
      <w:pPr>
        <w:contextualSpacing/>
        <w:jc w:val="both"/>
        <w:rPr>
          <w:rFonts w:eastAsia="Times New Roman" w:cs="Courier New"/>
        </w:rPr>
      </w:pPr>
      <w:r w:rsidRPr="00B67C28">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rsidR="00540097" w:rsidRPr="00546E95" w:rsidRDefault="00540097" w:rsidP="00AD0F35">
      <w:pPr>
        <w:contextualSpacing/>
        <w:jc w:val="both"/>
        <w:rPr>
          <w:rFonts w:eastAsia="Times New Roman" w:cs="Courier New"/>
        </w:rPr>
      </w:pPr>
    </w:p>
    <w:p w:rsidR="00540097" w:rsidRPr="00546E95" w:rsidRDefault="00540097" w:rsidP="00B9309A">
      <w:pPr>
        <w:jc w:val="right"/>
        <w:rPr>
          <w:rFonts w:cs="Courier New"/>
        </w:rPr>
      </w:pPr>
    </w:p>
    <w:p w:rsidR="00540097" w:rsidRPr="00546E95" w:rsidRDefault="00540097" w:rsidP="0069725B">
      <w:pPr>
        <w:jc w:val="center"/>
        <w:rPr>
          <w:rFonts w:cs="Courier New"/>
        </w:rPr>
      </w:pP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p>
    <w:p w:rsidR="00540097" w:rsidRPr="00546E95" w:rsidRDefault="00540097"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540097"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540097" w:rsidRDefault="00540097"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540097" w:rsidSect="00F54DB7">
          <w:headerReference w:type="default" r:id="rId12"/>
          <w:footerReference w:type="default" r:id="rId13"/>
          <w:type w:val="continuous"/>
          <w:pgSz w:w="12240" w:h="15840"/>
          <w:pgMar w:top="1440" w:right="1350" w:bottom="1440" w:left="1350" w:header="720" w:footer="720" w:gutter="0"/>
          <w:cols w:space="720"/>
          <w:docGrid w:linePitch="360"/>
        </w:sectPr>
      </w:pPr>
    </w:p>
    <w:p w:rsidR="00540097" w:rsidRPr="00546E95" w:rsidRDefault="00540097"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540097" w:rsidRPr="00546E95" w:rsidSect="00540097">
      <w:headerReference w:type="default" r:id="rId14"/>
      <w:footerReference w:type="default" r:id="rId15"/>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838" w:rsidRDefault="00A30838" w:rsidP="00562002">
      <w:pPr>
        <w:spacing w:line="240" w:lineRule="auto"/>
      </w:pPr>
      <w:r>
        <w:separator/>
      </w:r>
    </w:p>
  </w:endnote>
  <w:endnote w:type="continuationSeparator" w:id="0">
    <w:p w:rsidR="00A30838" w:rsidRDefault="00A30838"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68" w:rsidRDefault="00E44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97" w:rsidRPr="00D4302B" w:rsidRDefault="00540097" w:rsidP="00D43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97" w:rsidRPr="009A1D22" w:rsidRDefault="00540097"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97" w:rsidRPr="00D4302B" w:rsidRDefault="00540097" w:rsidP="00D430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D4302B" w:rsidRDefault="00C56DD8" w:rsidP="00D4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838" w:rsidRDefault="00A30838" w:rsidP="00562002">
      <w:pPr>
        <w:spacing w:line="240" w:lineRule="auto"/>
      </w:pPr>
      <w:r>
        <w:separator/>
      </w:r>
    </w:p>
  </w:footnote>
  <w:footnote w:type="continuationSeparator" w:id="0">
    <w:p w:rsidR="00A30838" w:rsidRDefault="00A30838"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68" w:rsidRDefault="00E44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97" w:rsidRPr="005576D7" w:rsidRDefault="00540097"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97" w:rsidRPr="009A1D22" w:rsidRDefault="00540097"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97" w:rsidRPr="00D4302B" w:rsidRDefault="00540097" w:rsidP="00D430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D4302B" w:rsidRDefault="00C56DD8" w:rsidP="00D43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32B81"/>
    <w:rsid w:val="000423CB"/>
    <w:rsid w:val="00043559"/>
    <w:rsid w:val="0004559F"/>
    <w:rsid w:val="00064C10"/>
    <w:rsid w:val="00090567"/>
    <w:rsid w:val="000B2396"/>
    <w:rsid w:val="000B4799"/>
    <w:rsid w:val="000B59C9"/>
    <w:rsid w:val="000D5C0C"/>
    <w:rsid w:val="0011108A"/>
    <w:rsid w:val="00166688"/>
    <w:rsid w:val="001F6F87"/>
    <w:rsid w:val="00212038"/>
    <w:rsid w:val="00213405"/>
    <w:rsid w:val="00215A93"/>
    <w:rsid w:val="0023627E"/>
    <w:rsid w:val="0024368F"/>
    <w:rsid w:val="00262D29"/>
    <w:rsid w:val="0027103D"/>
    <w:rsid w:val="002853CA"/>
    <w:rsid w:val="002E444C"/>
    <w:rsid w:val="00302D6B"/>
    <w:rsid w:val="00375EAC"/>
    <w:rsid w:val="00387D0D"/>
    <w:rsid w:val="003A1C78"/>
    <w:rsid w:val="003C542A"/>
    <w:rsid w:val="004065E8"/>
    <w:rsid w:val="00470402"/>
    <w:rsid w:val="004750FB"/>
    <w:rsid w:val="004906A6"/>
    <w:rsid w:val="004C6E55"/>
    <w:rsid w:val="004C72C9"/>
    <w:rsid w:val="00520249"/>
    <w:rsid w:val="00533CED"/>
    <w:rsid w:val="00537182"/>
    <w:rsid w:val="00540097"/>
    <w:rsid w:val="00546E95"/>
    <w:rsid w:val="005576D7"/>
    <w:rsid w:val="00562002"/>
    <w:rsid w:val="005957C8"/>
    <w:rsid w:val="0065075E"/>
    <w:rsid w:val="0069725B"/>
    <w:rsid w:val="006D7EEF"/>
    <w:rsid w:val="00703A3A"/>
    <w:rsid w:val="007456C8"/>
    <w:rsid w:val="007770CA"/>
    <w:rsid w:val="007A7889"/>
    <w:rsid w:val="008251FB"/>
    <w:rsid w:val="00882421"/>
    <w:rsid w:val="008847E4"/>
    <w:rsid w:val="00917835"/>
    <w:rsid w:val="00950B25"/>
    <w:rsid w:val="0098503E"/>
    <w:rsid w:val="009A1D22"/>
    <w:rsid w:val="009C2F98"/>
    <w:rsid w:val="009C5DCE"/>
    <w:rsid w:val="009D60BD"/>
    <w:rsid w:val="009F4695"/>
    <w:rsid w:val="00A30838"/>
    <w:rsid w:val="00A6670F"/>
    <w:rsid w:val="00A7082E"/>
    <w:rsid w:val="00A82F71"/>
    <w:rsid w:val="00AC149F"/>
    <w:rsid w:val="00AD0F35"/>
    <w:rsid w:val="00AE040B"/>
    <w:rsid w:val="00AE17A5"/>
    <w:rsid w:val="00B67C28"/>
    <w:rsid w:val="00B70E84"/>
    <w:rsid w:val="00B9309A"/>
    <w:rsid w:val="00BA6732"/>
    <w:rsid w:val="00C12234"/>
    <w:rsid w:val="00C3424C"/>
    <w:rsid w:val="00C44B60"/>
    <w:rsid w:val="00C56DD8"/>
    <w:rsid w:val="00C619E7"/>
    <w:rsid w:val="00C6795F"/>
    <w:rsid w:val="00CB2308"/>
    <w:rsid w:val="00CF79BF"/>
    <w:rsid w:val="00D13416"/>
    <w:rsid w:val="00D23619"/>
    <w:rsid w:val="00D25205"/>
    <w:rsid w:val="00D4302B"/>
    <w:rsid w:val="00D927CB"/>
    <w:rsid w:val="00DB7014"/>
    <w:rsid w:val="00E229A9"/>
    <w:rsid w:val="00E26E08"/>
    <w:rsid w:val="00E44A68"/>
    <w:rsid w:val="00E70352"/>
    <w:rsid w:val="00E913D2"/>
    <w:rsid w:val="00F20D5A"/>
    <w:rsid w:val="00F24DEA"/>
    <w:rsid w:val="00F54DB7"/>
    <w:rsid w:val="00F8427A"/>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22102115">
      <w:bodyDiv w:val="1"/>
      <w:marLeft w:val="0"/>
      <w:marRight w:val="0"/>
      <w:marTop w:val="0"/>
      <w:marBottom w:val="0"/>
      <w:divBdr>
        <w:top w:val="none" w:sz="0" w:space="0" w:color="auto"/>
        <w:left w:val="none" w:sz="0" w:space="0" w:color="auto"/>
        <w:bottom w:val="none" w:sz="0" w:space="0" w:color="auto"/>
        <w:right w:val="none" w:sz="0" w:space="0" w:color="auto"/>
      </w:divBdr>
    </w:div>
    <w:div w:id="658533877">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711106065">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1896813401">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 w:id="21267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2021-08-24T15:42:00Z</dcterms:created>
  <dcterms:modified xsi:type="dcterms:W3CDTF">2021-08-24T15:42:00Z</dcterms:modified>
</cp:coreProperties>
</file>