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B3" w:rsidRPr="00546E95" w:rsidRDefault="001B01B3"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rsidR="001B01B3" w:rsidRPr="00546E95" w:rsidRDefault="001B01B3" w:rsidP="00AD0F35">
      <w:pPr>
        <w:contextualSpacing/>
        <w:jc w:val="center"/>
        <w:rPr>
          <w:rFonts w:eastAsia="Times New Roman" w:cs="Courier New"/>
        </w:rPr>
      </w:pPr>
      <w:r w:rsidRPr="00546E95">
        <w:rPr>
          <w:rFonts w:eastAsia="Times New Roman" w:cs="Courier New"/>
        </w:rPr>
        <w:t>AIR FORCE BOARD FOR CORRECTION OF MILITARY RECORDS</w:t>
      </w:r>
    </w:p>
    <w:p w:rsidR="001B01B3" w:rsidRPr="00546E95" w:rsidRDefault="001B01B3" w:rsidP="00AD0F35">
      <w:pPr>
        <w:contextualSpacing/>
        <w:rPr>
          <w:rFonts w:eastAsia="Times New Roman" w:cs="Courier New"/>
        </w:rPr>
      </w:pPr>
    </w:p>
    <w:p w:rsidR="001B01B3" w:rsidRPr="00546E95" w:rsidRDefault="001B01B3" w:rsidP="00AD0F35">
      <w:pPr>
        <w:contextualSpacing/>
        <w:rPr>
          <w:rFonts w:eastAsia="Times New Roman" w:cs="Courier New"/>
        </w:rPr>
      </w:pPr>
    </w:p>
    <w:p w:rsidR="001B01B3" w:rsidRPr="00546E95" w:rsidRDefault="001B01B3"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4E6E48">
        <w:rPr>
          <w:rFonts w:cs="Courier New"/>
          <w:bCs/>
          <w:noProof/>
        </w:rPr>
        <w:t>BC-2016-00461</w:t>
      </w:r>
    </w:p>
    <w:p w:rsidR="001B01B3" w:rsidRPr="00546E95" w:rsidRDefault="001B01B3" w:rsidP="00AD0F35">
      <w:pPr>
        <w:contextualSpacing/>
        <w:rPr>
          <w:rFonts w:cs="Courier New"/>
        </w:rPr>
      </w:pPr>
    </w:p>
    <w:p w:rsidR="001B01B3" w:rsidRPr="00546E95" w:rsidRDefault="00533A67" w:rsidP="00AD0F35">
      <w:pPr>
        <w:contextualSpacing/>
        <w:jc w:val="both"/>
        <w:rPr>
          <w:rFonts w:cs="Courier New"/>
        </w:rPr>
      </w:pPr>
      <w:r>
        <w:rPr>
          <w:rFonts w:cs="Courier New"/>
          <w:bCs/>
          <w:noProof/>
        </w:rPr>
        <w:t xml:space="preserve">   </w:t>
      </w:r>
      <w:r w:rsidR="00826337">
        <w:rPr>
          <w:rFonts w:cs="Courier New"/>
          <w:bCs/>
          <w:noProof/>
        </w:rPr>
        <w:tab/>
      </w:r>
      <w:r w:rsidR="00826337">
        <w:rPr>
          <w:rFonts w:cs="Courier New"/>
          <w:bCs/>
          <w:noProof/>
        </w:rPr>
        <w:tab/>
      </w:r>
      <w:r w:rsidR="00826337">
        <w:rPr>
          <w:rFonts w:cs="Courier New"/>
          <w:bCs/>
          <w:noProof/>
        </w:rPr>
        <w:tab/>
      </w:r>
      <w:r w:rsidR="001B01B3" w:rsidRPr="00546E95">
        <w:rPr>
          <w:rFonts w:cs="Courier New"/>
          <w:bCs/>
        </w:rPr>
        <w:tab/>
      </w:r>
      <w:r w:rsidR="001B01B3">
        <w:rPr>
          <w:rFonts w:cs="Courier New"/>
          <w:bCs/>
        </w:rPr>
        <w:tab/>
      </w:r>
      <w:r>
        <w:rPr>
          <w:rFonts w:cs="Courier New"/>
          <w:bCs/>
        </w:rPr>
        <w:tab/>
      </w:r>
      <w:r w:rsidR="00B05382">
        <w:rPr>
          <w:rFonts w:eastAsia="Times New Roman" w:cs="Courier New"/>
        </w:rPr>
        <w:t xml:space="preserve">COUNSEL:  </w:t>
      </w:r>
    </w:p>
    <w:p w:rsidR="001B01B3" w:rsidRPr="00546E95" w:rsidRDefault="001B01B3" w:rsidP="00AD0F35">
      <w:pPr>
        <w:contextualSpacing/>
        <w:rPr>
          <w:rFonts w:eastAsia="Times New Roman" w:cs="Courier New"/>
        </w:rPr>
      </w:pPr>
    </w:p>
    <w:p w:rsidR="001B01B3" w:rsidRPr="00546E95" w:rsidRDefault="001B01B3"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1B01B3" w:rsidRPr="00546E95" w:rsidRDefault="001B01B3" w:rsidP="00AD0F35">
      <w:pPr>
        <w:contextualSpacing/>
        <w:rPr>
          <w:rFonts w:eastAsia="Times New Roman" w:cs="Courier New"/>
        </w:rPr>
      </w:pPr>
    </w:p>
    <w:p w:rsidR="001B01B3" w:rsidRPr="00546E95" w:rsidRDefault="001B01B3" w:rsidP="00AD0F35">
      <w:pPr>
        <w:pBdr>
          <w:bottom w:val="single" w:sz="6" w:space="1" w:color="auto"/>
        </w:pBdr>
        <w:contextualSpacing/>
        <w:rPr>
          <w:rFonts w:eastAsia="Times New Roman" w:cs="Courier New"/>
        </w:rPr>
      </w:pP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Default="00B05382" w:rsidP="00AD0F35">
      <w:pPr>
        <w:pBdr>
          <w:bottom w:val="single" w:sz="6" w:space="1" w:color="auto"/>
        </w:pBdr>
        <w:contextualSpacing/>
        <w:jc w:val="both"/>
        <w:rPr>
          <w:rFonts w:eastAsia="Times New Roman" w:cs="Courier New"/>
        </w:rPr>
      </w:pPr>
      <w:r>
        <w:rPr>
          <w:rFonts w:eastAsia="Times New Roman" w:cs="Courier New"/>
        </w:rPr>
        <w:t xml:space="preserve">She receive </w:t>
      </w:r>
      <w:r w:rsidR="00431C40">
        <w:rPr>
          <w:rFonts w:eastAsia="Times New Roman" w:cs="Courier New"/>
        </w:rPr>
        <w:t>compensation</w:t>
      </w:r>
      <w:r>
        <w:rPr>
          <w:rFonts w:eastAsia="Times New Roman" w:cs="Courier New"/>
        </w:rPr>
        <w:t xml:space="preserve"> for 60 days of leave she attempted to sell in conjunction with her separation.</w:t>
      </w:r>
    </w:p>
    <w:p w:rsidR="00B05382" w:rsidRPr="00546E95" w:rsidRDefault="00B05382" w:rsidP="00AD0F35">
      <w:pPr>
        <w:pBdr>
          <w:bottom w:val="single" w:sz="6" w:space="1" w:color="auto"/>
        </w:pBdr>
        <w:contextualSpacing/>
        <w:jc w:val="both"/>
        <w:rPr>
          <w:rFonts w:eastAsia="Times New Roman" w:cs="Courier New"/>
        </w:rPr>
      </w:pP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Pr="00546E95" w:rsidRDefault="00B05382" w:rsidP="00AD0F35">
      <w:pPr>
        <w:contextualSpacing/>
        <w:jc w:val="both"/>
        <w:rPr>
          <w:rFonts w:eastAsia="Times New Roman" w:cs="Courier New"/>
        </w:rPr>
      </w:pPr>
      <w:r>
        <w:rPr>
          <w:rFonts w:eastAsia="Times New Roman" w:cs="Courier New"/>
        </w:rPr>
        <w:t>Sh</w:t>
      </w:r>
      <w:r w:rsidR="00431C40">
        <w:rPr>
          <w:rFonts w:eastAsia="Times New Roman" w:cs="Courier New"/>
        </w:rPr>
        <w:t xml:space="preserve">e submitted an AF Form 1089, </w:t>
      </w:r>
      <w:r w:rsidR="00431C40" w:rsidRPr="00431C40">
        <w:rPr>
          <w:rFonts w:eastAsia="Times New Roman" w:cs="Courier New"/>
          <w:i/>
        </w:rPr>
        <w:t>Leave Settlement Option</w:t>
      </w:r>
      <w:r w:rsidR="00431C40">
        <w:rPr>
          <w:rFonts w:eastAsia="Times New Roman" w:cs="Courier New"/>
        </w:rPr>
        <w:t xml:space="preserve">, to sell back </w:t>
      </w:r>
      <w:r>
        <w:rPr>
          <w:rFonts w:eastAsia="Times New Roman" w:cs="Courier New"/>
        </w:rPr>
        <w:t>60 days of leave upon separation, however,</w:t>
      </w:r>
      <w:r w:rsidR="00262120">
        <w:rPr>
          <w:rFonts w:eastAsia="Times New Roman" w:cs="Courier New"/>
        </w:rPr>
        <w:t xml:space="preserve"> her finance office </w:t>
      </w:r>
      <w:proofErr w:type="gramStart"/>
      <w:r w:rsidR="00262120">
        <w:rPr>
          <w:rFonts w:eastAsia="Times New Roman" w:cs="Courier New"/>
        </w:rPr>
        <w:t>neglected</w:t>
      </w:r>
      <w:proofErr w:type="gramEnd"/>
      <w:r w:rsidR="00262120">
        <w:rPr>
          <w:rFonts w:eastAsia="Times New Roman" w:cs="Courier New"/>
        </w:rPr>
        <w:t xml:space="preserve"> to inform her she was not able to sell </w:t>
      </w:r>
      <w:r w:rsidR="00431C40">
        <w:rPr>
          <w:rFonts w:eastAsia="Times New Roman" w:cs="Courier New"/>
        </w:rPr>
        <w:t>the</w:t>
      </w:r>
      <w:r w:rsidR="00262120">
        <w:rPr>
          <w:rFonts w:eastAsia="Times New Roman" w:cs="Courier New"/>
        </w:rPr>
        <w:t xml:space="preserve"> 60 days of leave.  Had she known that, she would have taken the leave prior to her separation date.  Now, she has separated and cannot get the $5,239.18 which is due her.</w:t>
      </w:r>
      <w:r>
        <w:rPr>
          <w:rFonts w:eastAsia="Times New Roman" w:cs="Courier New"/>
        </w:rPr>
        <w:t xml:space="preserve"> </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The applicant’s complete submission, with attachments, is at Exhibit A.</w:t>
      </w:r>
    </w:p>
    <w:p w:rsidR="001B01B3" w:rsidRPr="00546E95" w:rsidRDefault="001B01B3" w:rsidP="00AD0F35">
      <w:pPr>
        <w:pBdr>
          <w:bottom w:val="single" w:sz="6" w:space="1" w:color="auto"/>
        </w:pBdr>
        <w:contextualSpacing/>
        <w:jc w:val="both"/>
        <w:rPr>
          <w:rFonts w:eastAsia="Times New Roman" w:cs="Courier New"/>
        </w:rPr>
      </w:pP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Default="001B01B3" w:rsidP="00AD0F35">
      <w:pPr>
        <w:contextualSpacing/>
        <w:jc w:val="both"/>
        <w:rPr>
          <w:rFonts w:eastAsia="Times New Roman" w:cs="Courier New"/>
        </w:rPr>
      </w:pPr>
      <w:r w:rsidRPr="00546E95">
        <w:rPr>
          <w:rFonts w:eastAsia="Times New Roman" w:cs="Courier New"/>
        </w:rPr>
        <w:t>The applicant initially entered the Regular Air Force on</w:t>
      </w:r>
      <w:r w:rsidR="00431C40">
        <w:rPr>
          <w:rFonts w:eastAsia="Times New Roman" w:cs="Courier New"/>
        </w:rPr>
        <w:t xml:space="preserve"> 7 May 97</w:t>
      </w:r>
      <w:r w:rsidRPr="00546E95">
        <w:rPr>
          <w:rFonts w:eastAsia="Times New Roman" w:cs="Courier New"/>
        </w:rPr>
        <w:t>.</w:t>
      </w:r>
    </w:p>
    <w:p w:rsidR="00DE43CE" w:rsidRDefault="00DE43CE" w:rsidP="00AD0F35">
      <w:pPr>
        <w:contextualSpacing/>
        <w:jc w:val="both"/>
        <w:rPr>
          <w:rFonts w:eastAsia="Times New Roman" w:cs="Courier New"/>
        </w:rPr>
      </w:pPr>
    </w:p>
    <w:p w:rsidR="00DE43CE" w:rsidRDefault="00DE43CE" w:rsidP="00DE43CE">
      <w:pPr>
        <w:contextualSpacing/>
        <w:jc w:val="both"/>
        <w:rPr>
          <w:rFonts w:eastAsia="Times New Roman" w:cs="Courier New"/>
        </w:rPr>
      </w:pPr>
      <w:r>
        <w:rPr>
          <w:rFonts w:eastAsia="Times New Roman" w:cs="Courier New"/>
        </w:rPr>
        <w:t>On 18 Aug 14 the Physical Evaluation Board (PEB) directed the applicant receive a disability separation.  According to the Disability Retirement Date Calculator used by the Physical Disability Office at AFPC, she was credited with 141 total days of unsellable leave, permissive TDY, and out processing, and was properl</w:t>
      </w:r>
      <w:r w:rsidR="008C1C65">
        <w:rPr>
          <w:rFonts w:eastAsia="Times New Roman" w:cs="Courier New"/>
        </w:rPr>
        <w:t xml:space="preserve">y compensated for the period of </w:t>
      </w:r>
      <w:r>
        <w:rPr>
          <w:rFonts w:eastAsia="Times New Roman" w:cs="Courier New"/>
        </w:rPr>
        <w:t xml:space="preserve">time between 18 Aug 14 and her established date of separation of 18 Dec 14. </w:t>
      </w:r>
    </w:p>
    <w:p w:rsidR="001B01B3" w:rsidRPr="00546E95" w:rsidRDefault="001B01B3" w:rsidP="00AD0F35">
      <w:pPr>
        <w:contextualSpacing/>
        <w:jc w:val="both"/>
        <w:rPr>
          <w:rFonts w:eastAsia="Times New Roman" w:cs="Courier New"/>
        </w:rPr>
      </w:pPr>
    </w:p>
    <w:p w:rsidR="00DE43CE" w:rsidRDefault="00DE43CE" w:rsidP="00DE43CE">
      <w:pPr>
        <w:contextualSpacing/>
        <w:jc w:val="both"/>
        <w:rPr>
          <w:rFonts w:eastAsia="Times New Roman" w:cs="Courier New"/>
        </w:rPr>
      </w:pPr>
      <w:r w:rsidRPr="00546E95">
        <w:rPr>
          <w:rFonts w:eastAsia="Times New Roman" w:cs="Courier New"/>
        </w:rPr>
        <w:t xml:space="preserve">On </w:t>
      </w:r>
      <w:r>
        <w:rPr>
          <w:rFonts w:eastAsia="Times New Roman" w:cs="Courier New"/>
        </w:rPr>
        <w:t>28 Dec 14</w:t>
      </w:r>
      <w:r w:rsidRPr="00546E95">
        <w:rPr>
          <w:rFonts w:eastAsia="Times New Roman" w:cs="Courier New"/>
        </w:rPr>
        <w:t xml:space="preserve">, the applicant was furnished an honorable discharge, </w:t>
      </w:r>
      <w:r>
        <w:rPr>
          <w:rFonts w:eastAsia="Times New Roman" w:cs="Courier New"/>
        </w:rPr>
        <w:t xml:space="preserve">with a narrative reason for separation of “Disability Severance Pay </w:t>
      </w:r>
      <w:r w:rsidR="0089134B">
        <w:rPr>
          <w:rFonts w:eastAsia="Times New Roman" w:cs="Courier New"/>
        </w:rPr>
        <w:t>Non-Combat</w:t>
      </w:r>
      <w:r>
        <w:rPr>
          <w:rFonts w:eastAsia="Times New Roman" w:cs="Courier New"/>
        </w:rPr>
        <w:t xml:space="preserve">, Enhanced,” </w:t>
      </w:r>
      <w:r w:rsidRPr="00546E95">
        <w:rPr>
          <w:rFonts w:eastAsia="Times New Roman" w:cs="Courier New"/>
        </w:rPr>
        <w:t xml:space="preserve">and was credited with </w:t>
      </w:r>
      <w:r>
        <w:rPr>
          <w:rFonts w:eastAsia="Times New Roman" w:cs="Courier New"/>
        </w:rPr>
        <w:t>17 years, 7</w:t>
      </w:r>
      <w:r w:rsidR="008C1C65">
        <w:rPr>
          <w:rFonts w:eastAsia="Times New Roman" w:cs="Courier New"/>
        </w:rPr>
        <w:t> </w:t>
      </w:r>
      <w:r w:rsidRPr="00546E95">
        <w:rPr>
          <w:rFonts w:eastAsia="Times New Roman" w:cs="Courier New"/>
        </w:rPr>
        <w:t>months, a</w:t>
      </w:r>
      <w:r>
        <w:rPr>
          <w:rFonts w:eastAsia="Times New Roman" w:cs="Courier New"/>
        </w:rPr>
        <w:t xml:space="preserve">nd 28 days of active service.  </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 xml:space="preserve">The remaining relevant facts pertaining to this application are contained in the memorandum prepared by the Air Force office of primary responsibility (OPR), which is attached at Exhibit C.    </w:t>
      </w:r>
    </w:p>
    <w:p w:rsidR="001B01B3" w:rsidRPr="00546E95" w:rsidRDefault="001B01B3" w:rsidP="00AD0F35">
      <w:pPr>
        <w:pBdr>
          <w:bottom w:val="single" w:sz="6" w:space="1" w:color="auto"/>
        </w:pBdr>
        <w:contextualSpacing/>
        <w:jc w:val="both"/>
        <w:rPr>
          <w:rFonts w:eastAsia="Times New Roman" w:cs="Courier New"/>
        </w:rPr>
      </w:pPr>
    </w:p>
    <w:p w:rsidR="001B01B3" w:rsidRPr="00546E95" w:rsidRDefault="001B01B3" w:rsidP="00AD0F35">
      <w:pPr>
        <w:contextualSpacing/>
        <w:jc w:val="both"/>
        <w:rPr>
          <w:rFonts w:eastAsia="Times New Roman" w:cs="Courier New"/>
          <w:u w:val="single"/>
        </w:rPr>
      </w:pPr>
    </w:p>
    <w:p w:rsidR="001B01B3" w:rsidRPr="00546E95" w:rsidRDefault="001B01B3" w:rsidP="00AD0F35">
      <w:pPr>
        <w:contextualSpacing/>
        <w:jc w:val="both"/>
        <w:rPr>
          <w:rFonts w:eastAsia="Times New Roman" w:cs="Courier New"/>
        </w:rPr>
      </w:pPr>
      <w:r w:rsidRPr="00546E95">
        <w:rPr>
          <w:rFonts w:eastAsia="Times New Roman" w:cs="Courier New"/>
          <w:u w:val="single"/>
        </w:rPr>
        <w:lastRenderedPageBreak/>
        <w:t>AIR FORCE EVALUATION</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DB0E5A" w:rsidRDefault="003A3C55" w:rsidP="00C90E7C">
      <w:pPr>
        <w:contextualSpacing/>
        <w:jc w:val="both"/>
      </w:pPr>
      <w:r w:rsidRPr="00546E95">
        <w:rPr>
          <w:rFonts w:eastAsia="Times New Roman" w:cs="Courier New"/>
        </w:rPr>
        <w:t>AFPC/D</w:t>
      </w:r>
      <w:r>
        <w:rPr>
          <w:rFonts w:eastAsia="Times New Roman" w:cs="Courier New"/>
        </w:rPr>
        <w:t>P2SSM</w:t>
      </w:r>
      <w:r w:rsidRPr="00546E95">
        <w:rPr>
          <w:rFonts w:eastAsia="Times New Roman" w:cs="Courier New"/>
        </w:rPr>
        <w:t xml:space="preserve"> </w:t>
      </w:r>
      <w:r w:rsidR="001B01B3" w:rsidRPr="00546E95">
        <w:rPr>
          <w:rFonts w:eastAsia="Times New Roman" w:cs="Courier New"/>
        </w:rPr>
        <w:t xml:space="preserve">recommends denial indicating there is no evidence of an error or an injustice.  </w:t>
      </w:r>
      <w:r w:rsidR="00B05382">
        <w:rPr>
          <w:snapToGrid w:val="0"/>
        </w:rPr>
        <w:t xml:space="preserve">In accordance with AFI 36-3003, </w:t>
      </w:r>
      <w:r w:rsidR="00B05382" w:rsidRPr="00B05382">
        <w:rPr>
          <w:i/>
          <w:snapToGrid w:val="0"/>
        </w:rPr>
        <w:t>Military Leave Program</w:t>
      </w:r>
      <w:r w:rsidR="00B05382">
        <w:rPr>
          <w:snapToGrid w:val="0"/>
        </w:rPr>
        <w:t>, paragraph </w:t>
      </w:r>
      <w:r w:rsidR="00B05382">
        <w:t xml:space="preserve">4.6., </w:t>
      </w:r>
      <w:r w:rsidR="00B05382" w:rsidRPr="00B05382">
        <w:rPr>
          <w:i/>
        </w:rPr>
        <w:t>Payment for Accrued Leave</w:t>
      </w:r>
      <w:r w:rsidR="008C1C65">
        <w:t>, Title </w:t>
      </w:r>
      <w:r w:rsidR="00B05382">
        <w:t xml:space="preserve">37, United States Code (USC) § 501 is the authority for payment for accrued leave upon reenlistment, retirement, separation under honorable conditions, or death. </w:t>
      </w:r>
      <w:r w:rsidR="008C1C65">
        <w:t xml:space="preserve"> </w:t>
      </w:r>
      <w:r w:rsidR="00B05382">
        <w:t>It limits payment of accrued leave to 60</w:t>
      </w:r>
      <w:r w:rsidR="00DB0E5A">
        <w:t> </w:t>
      </w:r>
      <w:r w:rsidR="00B05382">
        <w:t>days in a m</w:t>
      </w:r>
      <w:r w:rsidR="00136C0D">
        <w:t>ilitary career effective 10 Feb </w:t>
      </w:r>
      <w:r w:rsidR="00B05382">
        <w:t xml:space="preserve">76. </w:t>
      </w:r>
      <w:r w:rsidR="00DB0E5A">
        <w:t xml:space="preserve"> </w:t>
      </w:r>
      <w:r w:rsidR="00B05382">
        <w:t xml:space="preserve">A military career includes former service in enlisted or officer status. </w:t>
      </w:r>
      <w:r w:rsidR="00DB0E5A">
        <w:t xml:space="preserve"> </w:t>
      </w:r>
      <w:r w:rsidR="00B05382">
        <w:t xml:space="preserve">Cumulative payment for accrued leave as an enlisted member, officer, or both cannot exceed 60 days. </w:t>
      </w:r>
      <w:r w:rsidR="00DB0E5A">
        <w:t xml:space="preserve"> </w:t>
      </w:r>
      <w:proofErr w:type="gramStart"/>
      <w:r w:rsidR="00136C0D">
        <w:t>DoD</w:t>
      </w:r>
      <w:proofErr w:type="gramEnd"/>
      <w:r w:rsidR="00136C0D">
        <w:t> </w:t>
      </w:r>
      <w:r w:rsidR="00B05382">
        <w:t xml:space="preserve">7000.14-R, Volume 7A, </w:t>
      </w:r>
      <w:r w:rsidR="00B05382">
        <w:rPr>
          <w:i/>
          <w:iCs/>
        </w:rPr>
        <w:t>Department of Defense Financial Management Regulation (Military Pay Policy and Procedures Active Duty and Reserve Pay</w:t>
      </w:r>
      <w:r w:rsidR="00B05382">
        <w:t xml:space="preserve">), </w:t>
      </w:r>
      <w:r w:rsidR="00DB0E5A">
        <w:rPr>
          <w:snapToGrid w:val="0"/>
        </w:rPr>
        <w:t xml:space="preserve">paragraph </w:t>
      </w:r>
      <w:r w:rsidR="00DB0E5A">
        <w:t xml:space="preserve">4.7. </w:t>
      </w:r>
      <w:r w:rsidR="00DB0E5A" w:rsidRPr="00DB0E5A">
        <w:rPr>
          <w:i/>
        </w:rPr>
        <w:t>Disability Separation</w:t>
      </w:r>
      <w:r w:rsidR="00DB0E5A">
        <w:rPr>
          <w:i/>
        </w:rPr>
        <w:t xml:space="preserve">, </w:t>
      </w:r>
      <w:r w:rsidR="00DB0E5A" w:rsidRPr="00DB0E5A">
        <w:t>states</w:t>
      </w:r>
      <w:r w:rsidR="00DB0E5A">
        <w:t>:</w:t>
      </w:r>
    </w:p>
    <w:p w:rsidR="00DB0E5A" w:rsidRDefault="00DB0E5A" w:rsidP="00DB0E5A">
      <w:pPr>
        <w:autoSpaceDE w:val="0"/>
        <w:autoSpaceDN w:val="0"/>
        <w:adjustRightInd w:val="0"/>
        <w:jc w:val="both"/>
      </w:pPr>
    </w:p>
    <w:p w:rsidR="00DB0E5A" w:rsidRDefault="00DB0E5A" w:rsidP="00DB0E5A">
      <w:pPr>
        <w:autoSpaceDE w:val="0"/>
        <w:autoSpaceDN w:val="0"/>
        <w:adjustRightInd w:val="0"/>
        <w:ind w:firstLine="720"/>
        <w:jc w:val="both"/>
        <w:rPr>
          <w:rFonts w:ascii="Times New Roman" w:hAnsi="Times New Roman"/>
          <w:snapToGrid w:val="0"/>
        </w:rPr>
      </w:pPr>
      <w:r>
        <w:t xml:space="preserve">“4.7.1. DoD Guidelines. </w:t>
      </w:r>
      <w:proofErr w:type="gramStart"/>
      <w:r>
        <w:t>DoD</w:t>
      </w:r>
      <w:proofErr w:type="gramEnd"/>
      <w:r>
        <w:t xml:space="preserve"> processing requirements require members to receive payment for up to 60 days accrued leave and afford them time to take any accrued leave in excess of this </w:t>
      </w:r>
      <w:r w:rsidR="00233085">
        <w:t xml:space="preserve">      </w:t>
      </w:r>
      <w:r>
        <w:t>60-day limit.</w:t>
      </w:r>
      <w:r>
        <w:rPr>
          <w:snapToGrid w:val="0"/>
        </w:rPr>
        <w:t xml:space="preserve"> </w:t>
      </w:r>
    </w:p>
    <w:p w:rsidR="00DB0E5A" w:rsidRDefault="00DB0E5A" w:rsidP="00DB0E5A">
      <w:pPr>
        <w:tabs>
          <w:tab w:val="left" w:pos="720"/>
        </w:tabs>
        <w:autoSpaceDE w:val="0"/>
        <w:autoSpaceDN w:val="0"/>
        <w:adjustRightInd w:val="0"/>
        <w:jc w:val="both"/>
      </w:pPr>
      <w:r>
        <w:tab/>
        <w:t>4.7.2. Determining Re</w:t>
      </w:r>
      <w:r w:rsidR="00233085">
        <w:t>tirement or Separation Date. HQ </w:t>
      </w:r>
      <w:r>
        <w:t>AFPC/DPSD (Physical Disability</w:t>
      </w:r>
      <w:r w:rsidR="008C1C65">
        <w:t xml:space="preserve"> Division) determines a member’</w:t>
      </w:r>
      <w:r>
        <w:t xml:space="preserve">s separation date, taking into account: </w:t>
      </w:r>
    </w:p>
    <w:p w:rsidR="00DB0E5A" w:rsidRDefault="00DB0E5A" w:rsidP="00DB0E5A">
      <w:pPr>
        <w:tabs>
          <w:tab w:val="left" w:pos="720"/>
        </w:tabs>
        <w:autoSpaceDE w:val="0"/>
        <w:autoSpaceDN w:val="0"/>
        <w:adjustRightInd w:val="0"/>
        <w:jc w:val="both"/>
      </w:pPr>
      <w:r>
        <w:tab/>
        <w:t>4.7.2.1. Leave balance and leave accruing in excess of the 60-day accrued leave payment limitation for members authorized payment for up to 60 days of accrued leave.</w:t>
      </w:r>
    </w:p>
    <w:p w:rsidR="00DB0E5A" w:rsidRDefault="00DB0E5A" w:rsidP="00DB0E5A">
      <w:pPr>
        <w:tabs>
          <w:tab w:val="left" w:pos="720"/>
        </w:tabs>
        <w:autoSpaceDE w:val="0"/>
        <w:autoSpaceDN w:val="0"/>
        <w:adjustRightInd w:val="0"/>
        <w:jc w:val="both"/>
      </w:pPr>
      <w:r>
        <w:tab/>
        <w:t>4.7.2.2. Accrued leave and leave accruing to the date of separation for members previously paid for 60 days.”</w:t>
      </w:r>
    </w:p>
    <w:p w:rsidR="00DB0E5A" w:rsidRDefault="00DB0E5A" w:rsidP="00AD0F35">
      <w:pPr>
        <w:contextualSpacing/>
        <w:jc w:val="both"/>
      </w:pPr>
    </w:p>
    <w:p w:rsidR="00DB0E5A" w:rsidRDefault="00DB0E5A" w:rsidP="00DB0E5A">
      <w:pPr>
        <w:contextualSpacing/>
        <w:jc w:val="both"/>
        <w:rPr>
          <w:snapToGrid w:val="0"/>
        </w:rPr>
      </w:pPr>
      <w:r>
        <w:rPr>
          <w:snapToGrid w:val="0"/>
        </w:rPr>
        <w:t xml:space="preserve">The applicant sold 60 days of leave through previous reenlistments/extensions.  We recommend denying relief sought by member, as the AFI and </w:t>
      </w:r>
      <w:proofErr w:type="gramStart"/>
      <w:r>
        <w:rPr>
          <w:snapToGrid w:val="0"/>
        </w:rPr>
        <w:t>DoD</w:t>
      </w:r>
      <w:proofErr w:type="gramEnd"/>
      <w:r>
        <w:rPr>
          <w:snapToGrid w:val="0"/>
        </w:rPr>
        <w:t xml:space="preserve"> guidance states members cannot sell more than 60 days of leave.  The applicant sold leave in 2003 and 2009 according to the Master Military Pay Record. The applicant did not provide any evidence from the finance office or military personnel section stating that it was a mistake on their part regarding miscounseling on selling leave.</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 xml:space="preserve">A complete copy of the </w:t>
      </w:r>
      <w:r w:rsidR="003A3C55" w:rsidRPr="00546E95">
        <w:rPr>
          <w:rFonts w:eastAsia="Times New Roman" w:cs="Courier New"/>
        </w:rPr>
        <w:t>AFPC/D</w:t>
      </w:r>
      <w:r w:rsidR="003A3C55">
        <w:rPr>
          <w:rFonts w:eastAsia="Times New Roman" w:cs="Courier New"/>
        </w:rPr>
        <w:t>P2SSM</w:t>
      </w:r>
      <w:r w:rsidRPr="00546E95">
        <w:rPr>
          <w:rFonts w:eastAsia="Times New Roman" w:cs="Courier New"/>
        </w:rPr>
        <w:t xml:space="preserve"> evaluation is at Exhibit C.</w:t>
      </w:r>
    </w:p>
    <w:p w:rsidR="001B01B3" w:rsidRPr="00546E95" w:rsidRDefault="001B01B3" w:rsidP="00AD0F35">
      <w:pPr>
        <w:pBdr>
          <w:bottom w:val="single" w:sz="6" w:space="1" w:color="auto"/>
        </w:pBdr>
        <w:contextualSpacing/>
        <w:jc w:val="both"/>
        <w:rPr>
          <w:rFonts w:eastAsia="Times New Roman" w:cs="Courier New"/>
        </w:rPr>
      </w:pPr>
    </w:p>
    <w:p w:rsidR="00C90E7C" w:rsidRDefault="00C90E7C" w:rsidP="00AD0F35">
      <w:pPr>
        <w:contextualSpacing/>
        <w:jc w:val="both"/>
        <w:rPr>
          <w:rFonts w:eastAsia="Times New Roman" w:cs="Courier New"/>
          <w:u w:val="single"/>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Pr="00546E95" w:rsidRDefault="003A3C55" w:rsidP="00AD0F35">
      <w:pPr>
        <w:contextualSpacing/>
        <w:jc w:val="both"/>
        <w:rPr>
          <w:rFonts w:eastAsia="Times New Roman" w:cs="Courier New"/>
        </w:rPr>
      </w:pPr>
      <w:r>
        <w:rPr>
          <w:rFonts w:eastAsia="Times New Roman" w:cs="Courier New"/>
        </w:rPr>
        <w:t>A copy of the Air Force evaluation was</w:t>
      </w:r>
      <w:r w:rsidR="001B01B3" w:rsidRPr="00546E95">
        <w:rPr>
          <w:rFonts w:eastAsia="Times New Roman" w:cs="Courier New"/>
        </w:rPr>
        <w:t xml:space="preserve"> forwarded to the applicant on </w:t>
      </w:r>
      <w:r>
        <w:rPr>
          <w:rFonts w:eastAsia="Times New Roman" w:cs="Courier New"/>
        </w:rPr>
        <w:t>7 Sep 16</w:t>
      </w:r>
      <w:r w:rsidR="001B01B3" w:rsidRPr="00546E95">
        <w:rPr>
          <w:rFonts w:eastAsia="Times New Roman" w:cs="Courier New"/>
        </w:rPr>
        <w:t xml:space="preserve"> for review and comment within 30 days (Exhibit D).  As of this date, no response has been received by this office.</w:t>
      </w:r>
    </w:p>
    <w:p w:rsidR="001B01B3" w:rsidRPr="00546E95" w:rsidRDefault="001B01B3" w:rsidP="00AD0F35">
      <w:pPr>
        <w:pBdr>
          <w:bottom w:val="single" w:sz="6" w:space="1" w:color="auto"/>
        </w:pBdr>
        <w:contextualSpacing/>
        <w:jc w:val="both"/>
        <w:rPr>
          <w:rFonts w:eastAsia="Times New Roman" w:cs="Courier New"/>
        </w:rPr>
      </w:pPr>
    </w:p>
    <w:p w:rsidR="001B01B3" w:rsidRPr="00546E95" w:rsidRDefault="001B01B3" w:rsidP="00AD0F35">
      <w:pPr>
        <w:contextualSpacing/>
        <w:rPr>
          <w:rFonts w:eastAsia="Times New Roman" w:cs="Courier New"/>
          <w:u w:val="single"/>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1.  The applicant has exhausted all remedies provided by existing law or regulations.</w:t>
      </w:r>
    </w:p>
    <w:p w:rsidR="001B01B3" w:rsidRPr="00546E95" w:rsidRDefault="001B01B3" w:rsidP="00AD0F35">
      <w:pPr>
        <w:contextualSpacing/>
        <w:jc w:val="both"/>
        <w:rPr>
          <w:rFonts w:eastAsia="Times New Roman" w:cs="Courier New"/>
        </w:rPr>
      </w:pPr>
    </w:p>
    <w:p w:rsidR="001B01B3" w:rsidRPr="0001140C" w:rsidRDefault="001B01B3" w:rsidP="0001140C">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rsidR="001B01B3" w:rsidRPr="0001140C" w:rsidRDefault="001B01B3" w:rsidP="0001140C">
      <w:pPr>
        <w:contextualSpacing/>
        <w:jc w:val="both"/>
        <w:rPr>
          <w:rFonts w:eastAsia="Calibri" w:cs="Courier New"/>
        </w:rPr>
      </w:pPr>
    </w:p>
    <w:p w:rsidR="001B01B3" w:rsidRPr="00546E95" w:rsidRDefault="001B01B3" w:rsidP="00AD0F35">
      <w:pPr>
        <w:contextualSpacing/>
        <w:jc w:val="both"/>
        <w:rPr>
          <w:rFonts w:eastAsia="Calibri" w:cs="Courier New"/>
        </w:rPr>
      </w:pPr>
      <w:r w:rsidRPr="00546E95">
        <w:rPr>
          <w:rFonts w:eastAsia="Calibri" w:cs="Courier New"/>
        </w:rPr>
        <w:t xml:space="preserve">3.  Insufficient relevant evidence has been presented to demonstrate the existence of an error or injustice.  We took notice of the applicant’s complete submission in judging the merits of the case; however, we agree with the opinion and recommendation of </w:t>
      </w:r>
      <w:r w:rsidR="003A3C55" w:rsidRPr="00546E95">
        <w:rPr>
          <w:rFonts w:eastAsia="Times New Roman" w:cs="Courier New"/>
        </w:rPr>
        <w:t>AFPC/D</w:t>
      </w:r>
      <w:r w:rsidR="003A3C55">
        <w:rPr>
          <w:rFonts w:eastAsia="Times New Roman" w:cs="Courier New"/>
        </w:rPr>
        <w:t>P2SSM</w:t>
      </w:r>
      <w:r w:rsidRPr="00546E95">
        <w:rPr>
          <w:rFonts w:eastAsia="Calibri" w:cs="Courier New"/>
        </w:rPr>
        <w:t xml:space="preserve"> and adopt its rationale as the basis for our conclusion the applicant has not been the victim of an error o</w:t>
      </w:r>
      <w:r w:rsidR="0089134B">
        <w:rPr>
          <w:rFonts w:eastAsia="Calibri" w:cs="Courier New"/>
        </w:rPr>
        <w:t>r</w:t>
      </w:r>
      <w:r w:rsidRPr="00546E95">
        <w:rPr>
          <w:rFonts w:eastAsia="Calibri" w:cs="Courier New"/>
        </w:rPr>
        <w:t xml:space="preserve"> injustice.  Therefore, in the absence of evidence to the contrary, we find no basis to recommend granting the requested relief.</w:t>
      </w:r>
    </w:p>
    <w:p w:rsidR="001B01B3" w:rsidRPr="00546E95" w:rsidRDefault="001B01B3" w:rsidP="00AD0F35">
      <w:pPr>
        <w:pBdr>
          <w:bottom w:val="single" w:sz="6" w:space="1" w:color="auto"/>
        </w:pBdr>
        <w:contextualSpacing/>
        <w:jc w:val="both"/>
        <w:rPr>
          <w:rFonts w:eastAsia="Calibri" w:cs="Courier New"/>
        </w:rPr>
      </w:pPr>
    </w:p>
    <w:p w:rsidR="001B01B3" w:rsidRPr="00546E95" w:rsidRDefault="001B01B3" w:rsidP="00AD0F35">
      <w:pPr>
        <w:contextualSpacing/>
        <w:jc w:val="both"/>
        <w:rPr>
          <w:rFonts w:eastAsia="Times New Roman" w:cs="Courier New"/>
          <w:u w:val="single"/>
        </w:rPr>
      </w:pPr>
    </w:p>
    <w:p w:rsidR="001B01B3" w:rsidRPr="00546E95" w:rsidRDefault="001B01B3" w:rsidP="00AD0F35">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1B01B3" w:rsidRPr="00546E95" w:rsidRDefault="001B01B3" w:rsidP="00AD0F35">
      <w:pPr>
        <w:pBdr>
          <w:bottom w:val="single" w:sz="6" w:space="1" w:color="auto"/>
        </w:pBdr>
        <w:contextualSpacing/>
        <w:jc w:val="both"/>
        <w:rPr>
          <w:rFonts w:eastAsia="Times New Roman" w:cs="Courier New"/>
          <w:u w:val="single"/>
        </w:rPr>
      </w:pPr>
    </w:p>
    <w:p w:rsidR="001B01B3" w:rsidRPr="00546E95" w:rsidRDefault="001B01B3" w:rsidP="00AD0F35">
      <w:pPr>
        <w:contextualSpacing/>
        <w:rPr>
          <w:rFonts w:eastAsia="Times New Roman" w:cs="Courier New"/>
        </w:rPr>
      </w:pPr>
    </w:p>
    <w:p w:rsidR="001B01B3" w:rsidRPr="00546E95" w:rsidRDefault="001B01B3" w:rsidP="00AD0F35">
      <w:pPr>
        <w:contextualSpacing/>
        <w:jc w:val="both"/>
        <w:rPr>
          <w:rFonts w:cs="Courier New"/>
          <w:bCs/>
        </w:rPr>
      </w:pPr>
      <w:r w:rsidRPr="00546E95">
        <w:rPr>
          <w:rFonts w:eastAsia="Times New Roman" w:cs="Courier New"/>
        </w:rPr>
        <w:t xml:space="preserve">The following members of the Board considered AFBCMR Docket Number </w:t>
      </w:r>
      <w:r w:rsidRPr="004E6E48">
        <w:rPr>
          <w:rFonts w:cs="Courier New"/>
          <w:bCs/>
          <w:noProof/>
        </w:rPr>
        <w:t>BC-2016-00461</w:t>
      </w:r>
      <w:r w:rsidRPr="00546E95">
        <w:rPr>
          <w:rFonts w:cs="Courier New"/>
        </w:rPr>
        <w:t xml:space="preserve"> </w:t>
      </w:r>
      <w:r w:rsidRPr="00546E95">
        <w:rPr>
          <w:rFonts w:eastAsia="Times New Roman" w:cs="Courier New"/>
        </w:rPr>
        <w:t xml:space="preserve">in Executive Session on </w:t>
      </w:r>
      <w:r w:rsidR="00233085">
        <w:rPr>
          <w:rFonts w:eastAsia="Times New Roman" w:cs="Courier New"/>
        </w:rPr>
        <w:t>2</w:t>
      </w:r>
      <w:r w:rsidR="00B05382">
        <w:rPr>
          <w:rFonts w:eastAsia="Times New Roman" w:cs="Courier New"/>
        </w:rPr>
        <w:t>1 Mar 17</w:t>
      </w:r>
      <w:r w:rsidRPr="00546E95">
        <w:rPr>
          <w:rFonts w:cs="Courier New"/>
          <w:bCs/>
        </w:rPr>
        <w:t xml:space="preserve"> </w:t>
      </w:r>
      <w:r w:rsidRPr="00546E95">
        <w:rPr>
          <w:rFonts w:eastAsia="Times New Roman" w:cs="Courier New"/>
        </w:rPr>
        <w:t>under the provisions of AFI 36-2603:</w:t>
      </w:r>
    </w:p>
    <w:p w:rsidR="001B01B3" w:rsidRPr="00546E95" w:rsidRDefault="001B01B3" w:rsidP="00AD0F35">
      <w:pPr>
        <w:contextualSpacing/>
        <w:jc w:val="both"/>
        <w:rPr>
          <w:rFonts w:eastAsia="Times New Roman" w:cs="Courier New"/>
        </w:rPr>
      </w:pPr>
    </w:p>
    <w:p w:rsidR="00087890" w:rsidRDefault="00087890" w:rsidP="00087890">
      <w:pPr>
        <w:contextualSpacing/>
        <w:jc w:val="both"/>
        <w:rPr>
          <w:rFonts w:eastAsia="Calibri" w:cs="Courier New"/>
        </w:rPr>
      </w:pPr>
      <w:r>
        <w:rPr>
          <w:rFonts w:eastAsia="Calibri" w:cs="Courier New"/>
        </w:rPr>
        <w:tab/>
        <w:t>Panel Chair</w:t>
      </w:r>
    </w:p>
    <w:p w:rsidR="00087890" w:rsidRDefault="00087890" w:rsidP="00087890">
      <w:pPr>
        <w:contextualSpacing/>
        <w:jc w:val="both"/>
        <w:rPr>
          <w:rFonts w:eastAsia="Calibri" w:cs="Courier New"/>
        </w:rPr>
      </w:pPr>
      <w:r>
        <w:rPr>
          <w:rFonts w:eastAsia="Calibri" w:cs="Courier New"/>
        </w:rPr>
        <w:tab/>
        <w:t>Member</w:t>
      </w:r>
    </w:p>
    <w:p w:rsidR="00087890" w:rsidRDefault="00087890" w:rsidP="00087890">
      <w:pPr>
        <w:contextualSpacing/>
        <w:jc w:val="both"/>
        <w:rPr>
          <w:rFonts w:eastAsia="Calibri" w:cs="Courier New"/>
        </w:rPr>
      </w:pPr>
      <w:r>
        <w:rPr>
          <w:rFonts w:eastAsia="Calibri" w:cs="Courier New"/>
        </w:rPr>
        <w:tab/>
        <w:t>Member</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The following documentary evidence was considered:</w:t>
      </w:r>
    </w:p>
    <w:p w:rsidR="001B01B3" w:rsidRPr="00546E95" w:rsidRDefault="001B01B3" w:rsidP="00AD0F35">
      <w:pPr>
        <w:contextualSpacing/>
        <w:jc w:val="both"/>
        <w:rPr>
          <w:rFonts w:eastAsia="Times New Roman" w:cs="Courier New"/>
        </w:rPr>
      </w:pPr>
    </w:p>
    <w:p w:rsidR="001B01B3" w:rsidRPr="00546E95" w:rsidRDefault="001B01B3" w:rsidP="00AD0F35">
      <w:pPr>
        <w:contextualSpacing/>
        <w:jc w:val="both"/>
        <w:rPr>
          <w:rFonts w:eastAsia="Times New Roman" w:cs="Courier New"/>
        </w:rPr>
      </w:pPr>
      <w:r w:rsidRPr="00546E95">
        <w:rPr>
          <w:rFonts w:eastAsia="Times New Roman" w:cs="Courier New"/>
        </w:rPr>
        <w:tab/>
        <w:t xml:space="preserve">Exhibit A.  DD Form 149, dated </w:t>
      </w:r>
      <w:r w:rsidR="00B05382">
        <w:rPr>
          <w:rFonts w:eastAsia="Times New Roman" w:cs="Courier New"/>
        </w:rPr>
        <w:t>29 Jan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1B01B3" w:rsidRPr="00546E95" w:rsidRDefault="001B01B3" w:rsidP="00AD0F35">
      <w:pPr>
        <w:contextualSpacing/>
        <w:jc w:val="both"/>
        <w:rPr>
          <w:rFonts w:eastAsia="Times New Roman" w:cs="Courier New"/>
        </w:rPr>
      </w:pPr>
      <w:r w:rsidRPr="00546E95">
        <w:rPr>
          <w:rFonts w:eastAsia="Times New Roman" w:cs="Courier New"/>
        </w:rPr>
        <w:tab/>
        <w:t>Exhibit B.  Applicant's Master Personnel Records.</w:t>
      </w:r>
    </w:p>
    <w:p w:rsidR="001B01B3" w:rsidRPr="00546E95" w:rsidRDefault="001B01B3" w:rsidP="00AD0F35">
      <w:pPr>
        <w:contextualSpacing/>
        <w:jc w:val="both"/>
        <w:rPr>
          <w:rFonts w:eastAsia="Times New Roman" w:cs="Courier New"/>
        </w:rPr>
      </w:pPr>
      <w:r w:rsidRPr="00546E95">
        <w:rPr>
          <w:rFonts w:eastAsia="Times New Roman" w:cs="Courier New"/>
        </w:rPr>
        <w:tab/>
        <w:t>Exhibit C.  Memorandum, AFPC/D</w:t>
      </w:r>
      <w:r w:rsidR="00B05382">
        <w:rPr>
          <w:rFonts w:eastAsia="Times New Roman" w:cs="Courier New"/>
        </w:rPr>
        <w:t>P2SSM</w:t>
      </w:r>
      <w:r w:rsidRPr="00546E95">
        <w:rPr>
          <w:rFonts w:eastAsia="Times New Roman" w:cs="Courier New"/>
        </w:rPr>
        <w:t xml:space="preserve">, dated </w:t>
      </w:r>
      <w:r w:rsidR="0089134B">
        <w:rPr>
          <w:rFonts w:eastAsia="Times New Roman" w:cs="Courier New"/>
        </w:rPr>
        <w:t>5 May 16</w:t>
      </w:r>
      <w:r w:rsidRPr="00546E95">
        <w:rPr>
          <w:rFonts w:eastAsia="Times New Roman" w:cs="Courier New"/>
        </w:rPr>
        <w:t>.</w:t>
      </w:r>
    </w:p>
    <w:p w:rsidR="001B01B3" w:rsidRDefault="001B01B3" w:rsidP="00AD0F35">
      <w:pPr>
        <w:contextualSpacing/>
        <w:jc w:val="both"/>
        <w:rPr>
          <w:rFonts w:eastAsia="Times New Roman" w:cs="Courier New"/>
        </w:rPr>
      </w:pPr>
      <w:r>
        <w:rPr>
          <w:rFonts w:eastAsia="Times New Roman" w:cs="Courier New"/>
        </w:rPr>
        <w:tab/>
      </w:r>
      <w:r w:rsidRPr="00546E95">
        <w:rPr>
          <w:rFonts w:eastAsia="Times New Roman" w:cs="Courier New"/>
        </w:rPr>
        <w:t>Exhibit D.  L</w:t>
      </w:r>
      <w:r w:rsidR="00B05382">
        <w:rPr>
          <w:rFonts w:eastAsia="Times New Roman" w:cs="Courier New"/>
        </w:rPr>
        <w:t>etter, SAF/MRBR, dated 7 Sep 16</w:t>
      </w:r>
      <w:r w:rsidRPr="00546E95">
        <w:rPr>
          <w:rFonts w:eastAsia="Times New Roman" w:cs="Courier New"/>
        </w:rPr>
        <w:t>.</w:t>
      </w:r>
    </w:p>
    <w:p w:rsidR="001B01B3" w:rsidRDefault="001B01B3" w:rsidP="00AD0F35">
      <w:pPr>
        <w:contextualSpacing/>
        <w:jc w:val="both"/>
        <w:rPr>
          <w:rFonts w:eastAsia="Times New Roman" w:cs="Courier New"/>
        </w:rPr>
      </w:pPr>
    </w:p>
    <w:p w:rsidR="001B01B3" w:rsidRPr="00B67C28" w:rsidRDefault="001B01B3" w:rsidP="00B67C28">
      <w:pPr>
        <w:contextualSpacing/>
        <w:jc w:val="both"/>
        <w:rPr>
          <w:rFonts w:eastAsia="Times New Roman" w:cs="Courier New"/>
        </w:rPr>
      </w:pPr>
      <w:r w:rsidRPr="00B67C28">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rsidR="001B01B3" w:rsidRPr="00546E95" w:rsidRDefault="001B01B3" w:rsidP="00AD0F35">
      <w:pPr>
        <w:contextualSpacing/>
        <w:jc w:val="both"/>
        <w:rPr>
          <w:rFonts w:eastAsia="Times New Roman" w:cs="Courier New"/>
        </w:rPr>
      </w:pPr>
    </w:p>
    <w:p w:rsidR="001B01B3" w:rsidRPr="00546E95" w:rsidRDefault="001B01B3" w:rsidP="00B9309A">
      <w:pPr>
        <w:jc w:val="right"/>
        <w:rPr>
          <w:rFonts w:cs="Courier New"/>
        </w:rPr>
      </w:pPr>
    </w:p>
    <w:p w:rsidR="001B01B3" w:rsidRPr="00546E95" w:rsidRDefault="001B01B3"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rsidR="001B01B3" w:rsidRPr="00546E95" w:rsidRDefault="001B01B3"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1B01B3"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1B01B3" w:rsidRDefault="001B01B3"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1B01B3" w:rsidSect="00F54DB7">
          <w:headerReference w:type="default" r:id="rId12"/>
          <w:footerReference w:type="default" r:id="rId13"/>
          <w:type w:val="continuous"/>
          <w:pgSz w:w="12240" w:h="15840"/>
          <w:pgMar w:top="1440" w:right="1350" w:bottom="1440" w:left="1350" w:header="720" w:footer="720" w:gutter="0"/>
          <w:cols w:space="720"/>
          <w:docGrid w:linePitch="360"/>
        </w:sectPr>
      </w:pPr>
    </w:p>
    <w:p w:rsidR="001B01B3" w:rsidRPr="00546E95" w:rsidRDefault="001B01B3"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1B01B3" w:rsidRPr="00546E95" w:rsidSect="001B01B3">
      <w:headerReference w:type="default" r:id="rId14"/>
      <w:footerReference w:type="default" r:id="rId15"/>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31" w:rsidRDefault="00675B31" w:rsidP="00562002">
      <w:pPr>
        <w:spacing w:line="240" w:lineRule="auto"/>
      </w:pPr>
      <w:r>
        <w:separator/>
      </w:r>
    </w:p>
  </w:endnote>
  <w:endnote w:type="continuationSeparator" w:id="0">
    <w:p w:rsidR="00675B31" w:rsidRDefault="00675B31"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337" w:rsidRDefault="0082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C9382F" w:rsidRDefault="001B01B3" w:rsidP="00C93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9A1D22" w:rsidRDefault="001B01B3"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C9382F" w:rsidRDefault="001B01B3" w:rsidP="00C938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C9382F" w:rsidRDefault="00C56DD8" w:rsidP="00C9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31" w:rsidRDefault="00675B31" w:rsidP="00562002">
      <w:pPr>
        <w:spacing w:line="240" w:lineRule="auto"/>
      </w:pPr>
      <w:r>
        <w:separator/>
      </w:r>
    </w:p>
  </w:footnote>
  <w:footnote w:type="continuationSeparator" w:id="0">
    <w:p w:rsidR="00675B31" w:rsidRDefault="00675B31"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337" w:rsidRDefault="00826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5576D7" w:rsidRDefault="001B01B3"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9A1D22" w:rsidRDefault="001B01B3"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1B3" w:rsidRPr="00C9382F" w:rsidRDefault="001B01B3" w:rsidP="00C938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C9382F" w:rsidRDefault="00C56DD8" w:rsidP="00C93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11643"/>
    <w:rsid w:val="000423CB"/>
    <w:rsid w:val="00043559"/>
    <w:rsid w:val="00064C10"/>
    <w:rsid w:val="00087890"/>
    <w:rsid w:val="00090567"/>
    <w:rsid w:val="000B2396"/>
    <w:rsid w:val="000B4799"/>
    <w:rsid w:val="000D5C0C"/>
    <w:rsid w:val="000F3DBF"/>
    <w:rsid w:val="0011108A"/>
    <w:rsid w:val="00121BF8"/>
    <w:rsid w:val="00136C0D"/>
    <w:rsid w:val="00166688"/>
    <w:rsid w:val="001B01B3"/>
    <w:rsid w:val="001F6F87"/>
    <w:rsid w:val="00212038"/>
    <w:rsid w:val="00213405"/>
    <w:rsid w:val="00233085"/>
    <w:rsid w:val="0023627E"/>
    <w:rsid w:val="0024368F"/>
    <w:rsid w:val="00255582"/>
    <w:rsid w:val="00262120"/>
    <w:rsid w:val="00262D29"/>
    <w:rsid w:val="0027256A"/>
    <w:rsid w:val="002853CA"/>
    <w:rsid w:val="002E444C"/>
    <w:rsid w:val="00302D6B"/>
    <w:rsid w:val="00375EAC"/>
    <w:rsid w:val="00387D0D"/>
    <w:rsid w:val="003A1C78"/>
    <w:rsid w:val="003A3C55"/>
    <w:rsid w:val="003C542A"/>
    <w:rsid w:val="00404356"/>
    <w:rsid w:val="004065E8"/>
    <w:rsid w:val="004258CF"/>
    <w:rsid w:val="00431C40"/>
    <w:rsid w:val="00470402"/>
    <w:rsid w:val="004906A6"/>
    <w:rsid w:val="004C6E55"/>
    <w:rsid w:val="00520249"/>
    <w:rsid w:val="00533A67"/>
    <w:rsid w:val="00533CED"/>
    <w:rsid w:val="00537182"/>
    <w:rsid w:val="00546E95"/>
    <w:rsid w:val="005576D7"/>
    <w:rsid w:val="00562002"/>
    <w:rsid w:val="00602BD1"/>
    <w:rsid w:val="0063664D"/>
    <w:rsid w:val="0065075E"/>
    <w:rsid w:val="00651182"/>
    <w:rsid w:val="00653072"/>
    <w:rsid w:val="00675B31"/>
    <w:rsid w:val="0069725B"/>
    <w:rsid w:val="006D7EEF"/>
    <w:rsid w:val="00703A3A"/>
    <w:rsid w:val="007456C8"/>
    <w:rsid w:val="007A7889"/>
    <w:rsid w:val="00802F33"/>
    <w:rsid w:val="008251FB"/>
    <w:rsid w:val="00826337"/>
    <w:rsid w:val="0083592B"/>
    <w:rsid w:val="00882421"/>
    <w:rsid w:val="008847E4"/>
    <w:rsid w:val="0089134B"/>
    <w:rsid w:val="008C1C65"/>
    <w:rsid w:val="00917835"/>
    <w:rsid w:val="00950B25"/>
    <w:rsid w:val="0098503E"/>
    <w:rsid w:val="009A1D22"/>
    <w:rsid w:val="009C2F98"/>
    <w:rsid w:val="009C5DCE"/>
    <w:rsid w:val="009D60BD"/>
    <w:rsid w:val="009F4695"/>
    <w:rsid w:val="00A6670F"/>
    <w:rsid w:val="00A7082E"/>
    <w:rsid w:val="00A82F71"/>
    <w:rsid w:val="00AC149F"/>
    <w:rsid w:val="00AD0F35"/>
    <w:rsid w:val="00AE17A5"/>
    <w:rsid w:val="00B05382"/>
    <w:rsid w:val="00B67C28"/>
    <w:rsid w:val="00B70E84"/>
    <w:rsid w:val="00B9309A"/>
    <w:rsid w:val="00BA6732"/>
    <w:rsid w:val="00C12234"/>
    <w:rsid w:val="00C3424C"/>
    <w:rsid w:val="00C42CF6"/>
    <w:rsid w:val="00C44B60"/>
    <w:rsid w:val="00C56DD8"/>
    <w:rsid w:val="00C619E7"/>
    <w:rsid w:val="00C90E7C"/>
    <w:rsid w:val="00C9382F"/>
    <w:rsid w:val="00CB2308"/>
    <w:rsid w:val="00CF79BF"/>
    <w:rsid w:val="00D13416"/>
    <w:rsid w:val="00D23619"/>
    <w:rsid w:val="00D72606"/>
    <w:rsid w:val="00D927CB"/>
    <w:rsid w:val="00DB0E5A"/>
    <w:rsid w:val="00DB7014"/>
    <w:rsid w:val="00DE43CE"/>
    <w:rsid w:val="00E70352"/>
    <w:rsid w:val="00E913D2"/>
    <w:rsid w:val="00F20D5A"/>
    <w:rsid w:val="00F54DB7"/>
    <w:rsid w:val="00F8427A"/>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22102115">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1921986309">
      <w:bodyDiv w:val="1"/>
      <w:marLeft w:val="0"/>
      <w:marRight w:val="0"/>
      <w:marTop w:val="0"/>
      <w:marBottom w:val="0"/>
      <w:divBdr>
        <w:top w:val="none" w:sz="0" w:space="0" w:color="auto"/>
        <w:left w:val="none" w:sz="0" w:space="0" w:color="auto"/>
        <w:bottom w:val="none" w:sz="0" w:space="0" w:color="auto"/>
        <w:right w:val="none" w:sz="0" w:space="0" w:color="auto"/>
      </w:divBdr>
    </w:div>
    <w:div w:id="2007896734">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 w:id="21267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2021-08-24T15:41:00Z</dcterms:created>
  <dcterms:modified xsi:type="dcterms:W3CDTF">2021-08-24T15:41:00Z</dcterms:modified>
</cp:coreProperties>
</file>