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4EBB0" w14:textId="77777777" w:rsidR="00F54DB7" w:rsidRPr="00546E95" w:rsidRDefault="00F54DB7" w:rsidP="00AD47BD">
      <w:pPr>
        <w:contextualSpacing/>
        <w:jc w:val="center"/>
        <w:rPr>
          <w:rFonts w:eastAsia="Times New Roman" w:cs="Courier New"/>
        </w:rPr>
      </w:pPr>
      <w:r w:rsidRPr="00546E95">
        <w:rPr>
          <w:rFonts w:eastAsia="Times New Roman" w:cs="Courier New"/>
        </w:rPr>
        <w:t>RECORD OF PROCEEDINGS</w:t>
      </w:r>
    </w:p>
    <w:p w14:paraId="6584EBB1" w14:textId="77777777" w:rsidR="00F54DB7" w:rsidRPr="00546E95" w:rsidRDefault="00F54DB7" w:rsidP="00AD47BD">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47BD">
      <w:pPr>
        <w:contextualSpacing/>
        <w:rPr>
          <w:rFonts w:eastAsia="Times New Roman" w:cs="Courier New"/>
        </w:rPr>
      </w:pPr>
    </w:p>
    <w:p w14:paraId="6584EBB3" w14:textId="77777777" w:rsidR="00F54DB7" w:rsidRPr="00546E95" w:rsidRDefault="00F54DB7" w:rsidP="00AD47BD">
      <w:pPr>
        <w:contextualSpacing/>
        <w:rPr>
          <w:rFonts w:eastAsia="Times New Roman" w:cs="Courier New"/>
        </w:rPr>
      </w:pPr>
    </w:p>
    <w:p w14:paraId="732F05B1" w14:textId="02C1857F" w:rsidR="00AE17A5" w:rsidRPr="00F77744" w:rsidRDefault="00AE17A5" w:rsidP="00AD47BD">
      <w:pPr>
        <w:ind w:right="-90"/>
      </w:pPr>
      <w:r w:rsidRPr="00546E95">
        <w:t>IN THE MATTER OF:</w:t>
      </w:r>
      <w:r w:rsidR="0023627E" w:rsidRPr="00546E95">
        <w:t xml:space="preserve"> </w:t>
      </w:r>
      <w:r w:rsidRPr="00546E95">
        <w:tab/>
      </w:r>
      <w:r w:rsidR="00AD0F35">
        <w:tab/>
      </w:r>
      <w:r w:rsidR="00AD0F35">
        <w:tab/>
      </w:r>
      <w:r w:rsidR="00F54DB7" w:rsidRPr="00546E95">
        <w:t xml:space="preserve">DOCKET NUMBER: </w:t>
      </w:r>
      <w:bookmarkStart w:id="0" w:name="_GoBack"/>
      <w:r w:rsidR="00FE48E4">
        <w:t>BC-2016-04760</w:t>
      </w:r>
      <w:bookmarkEnd w:id="0"/>
      <w:r w:rsidR="00F77744" w:rsidRPr="00F77744">
        <w:t xml:space="preserve"> </w:t>
      </w:r>
    </w:p>
    <w:p w14:paraId="386EBC70" w14:textId="77777777" w:rsidR="00AE17A5" w:rsidRPr="00546E95" w:rsidRDefault="00AE17A5" w:rsidP="00AD47BD">
      <w:pPr>
        <w:ind w:right="-90"/>
        <w:contextualSpacing/>
        <w:rPr>
          <w:rFonts w:cs="Courier New"/>
        </w:rPr>
      </w:pPr>
    </w:p>
    <w:p w14:paraId="6584EBB6" w14:textId="1CADD054" w:rsidR="00F54DB7" w:rsidRPr="007257CE" w:rsidRDefault="001812CA" w:rsidP="00AD47BD">
      <w:pPr>
        <w:ind w:right="-90"/>
      </w:pPr>
      <w:r>
        <w:t xml:space="preserve">   </w:t>
      </w:r>
      <w:r w:rsidR="0088662A">
        <w:tab/>
      </w:r>
      <w:r w:rsidR="0088662A">
        <w:tab/>
      </w:r>
      <w:r w:rsidR="0088662A">
        <w:tab/>
      </w:r>
      <w:r w:rsidR="0088662A">
        <w:tab/>
      </w:r>
      <w:r w:rsidR="001924D6">
        <w:tab/>
      </w:r>
      <w:r w:rsidR="001924D6">
        <w:tab/>
      </w:r>
      <w:r w:rsidR="00F54DB7" w:rsidRPr="007257CE">
        <w:t xml:space="preserve">COUNSEL:  </w:t>
      </w:r>
      <w:r w:rsidR="00AD47BD">
        <w:t>NONE</w:t>
      </w:r>
    </w:p>
    <w:p w14:paraId="0680DEB4" w14:textId="77777777" w:rsidR="00AD47BD" w:rsidRDefault="00AD47BD" w:rsidP="00AD47BD">
      <w:pPr>
        <w:ind w:right="-90"/>
        <w:rPr>
          <w:bCs/>
        </w:rPr>
      </w:pPr>
    </w:p>
    <w:p w14:paraId="6584EBB7" w14:textId="00FD4F09" w:rsidR="00F54DB7" w:rsidRPr="007257CE" w:rsidRDefault="00AD47BD" w:rsidP="00AD47BD">
      <w:pPr>
        <w:ind w:right="-90"/>
      </w:pPr>
      <w:r>
        <w:rPr>
          <w:bCs/>
        </w:rPr>
        <w:tab/>
      </w:r>
      <w:r>
        <w:rPr>
          <w:bCs/>
        </w:rPr>
        <w:tab/>
      </w:r>
      <w:r w:rsidR="00AD0F35" w:rsidRPr="007257CE">
        <w:tab/>
      </w:r>
      <w:r w:rsidR="00AD0F35" w:rsidRPr="007257CE">
        <w:tab/>
      </w:r>
      <w:r w:rsidR="00AD0F35" w:rsidRPr="007257CE">
        <w:tab/>
      </w:r>
      <w:r w:rsidR="00AD0F35" w:rsidRPr="007257CE">
        <w:tab/>
      </w:r>
      <w:r w:rsidR="001924D6" w:rsidRPr="007257CE">
        <w:t xml:space="preserve">HEARING DESIRED:  </w:t>
      </w:r>
      <w:r>
        <w:t>NO</w:t>
      </w:r>
    </w:p>
    <w:p w14:paraId="6584EBB8" w14:textId="77777777" w:rsidR="002E444C" w:rsidRPr="00546E95" w:rsidRDefault="002E444C" w:rsidP="00AD47BD">
      <w:pPr>
        <w:ind w:right="-90"/>
        <w:contextualSpacing/>
        <w:rPr>
          <w:rFonts w:eastAsia="Times New Roman" w:cs="Courier New"/>
        </w:rPr>
      </w:pPr>
    </w:p>
    <w:p w14:paraId="6584EBB9" w14:textId="77777777" w:rsidR="00F54DB7" w:rsidRPr="00546E95" w:rsidRDefault="00F54DB7" w:rsidP="00AD47BD">
      <w:pPr>
        <w:pBdr>
          <w:bottom w:val="single" w:sz="6" w:space="1" w:color="auto"/>
        </w:pBdr>
        <w:ind w:right="-90"/>
        <w:contextualSpacing/>
        <w:rPr>
          <w:rFonts w:eastAsia="Times New Roman" w:cs="Courier New"/>
        </w:rPr>
      </w:pPr>
    </w:p>
    <w:p w14:paraId="6584EBBA" w14:textId="77777777" w:rsidR="00F54DB7" w:rsidRPr="00546E95" w:rsidRDefault="00F54DB7" w:rsidP="00AD47BD">
      <w:pPr>
        <w:ind w:right="-90"/>
        <w:contextualSpacing/>
        <w:jc w:val="both"/>
        <w:rPr>
          <w:rFonts w:eastAsia="Times New Roman" w:cs="Courier New"/>
        </w:rPr>
      </w:pPr>
    </w:p>
    <w:p w14:paraId="6584EBBB" w14:textId="77777777" w:rsidR="00F54DB7" w:rsidRPr="00546E95" w:rsidRDefault="00F54DB7" w:rsidP="00AD47BD">
      <w:pPr>
        <w:ind w:right="-90"/>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47BD">
      <w:pPr>
        <w:ind w:right="-90"/>
        <w:contextualSpacing/>
        <w:jc w:val="both"/>
        <w:rPr>
          <w:rFonts w:eastAsia="Times New Roman" w:cs="Courier New"/>
        </w:rPr>
      </w:pPr>
    </w:p>
    <w:p w14:paraId="6584EBBD" w14:textId="4485E3A3" w:rsidR="00F54DB7" w:rsidRPr="00546E95" w:rsidRDefault="006F77C8" w:rsidP="00AD47BD">
      <w:pPr>
        <w:pBdr>
          <w:bottom w:val="single" w:sz="6" w:space="1" w:color="auto"/>
        </w:pBdr>
        <w:ind w:right="-90"/>
        <w:contextualSpacing/>
        <w:jc w:val="both"/>
        <w:rPr>
          <w:rFonts w:eastAsia="Times New Roman" w:cs="Courier New"/>
        </w:rPr>
      </w:pPr>
      <w:r>
        <w:rPr>
          <w:w w:val="105"/>
        </w:rPr>
        <w:t xml:space="preserve">He be reimbursed </w:t>
      </w:r>
      <w:r w:rsidR="001812CA">
        <w:rPr>
          <w:w w:val="105"/>
        </w:rPr>
        <w:t>in the amount of $2,380.00 for personally procuring the storage of his privately owned vehicle (POV) for the duration of his OCONUS tour.</w:t>
      </w:r>
    </w:p>
    <w:p w14:paraId="6584EBC0" w14:textId="77777777" w:rsidR="00F54DB7" w:rsidRPr="00546E95" w:rsidRDefault="00F54DB7" w:rsidP="00AD47BD">
      <w:pPr>
        <w:pBdr>
          <w:bottom w:val="single" w:sz="6" w:space="1" w:color="auto"/>
        </w:pBdr>
        <w:ind w:right="-90"/>
        <w:contextualSpacing/>
        <w:jc w:val="both"/>
        <w:rPr>
          <w:rFonts w:eastAsia="Times New Roman" w:cs="Courier New"/>
        </w:rPr>
      </w:pPr>
    </w:p>
    <w:p w14:paraId="6584EBC1" w14:textId="77777777" w:rsidR="00F54DB7" w:rsidRPr="00546E95" w:rsidRDefault="00F54DB7" w:rsidP="00AD47BD">
      <w:pPr>
        <w:ind w:right="-90"/>
        <w:contextualSpacing/>
        <w:jc w:val="both"/>
        <w:rPr>
          <w:rFonts w:eastAsia="Times New Roman" w:cs="Courier New"/>
        </w:rPr>
      </w:pPr>
    </w:p>
    <w:p w14:paraId="6584EBC2" w14:textId="77777777" w:rsidR="00F54DB7" w:rsidRPr="00546E95" w:rsidRDefault="00F54DB7" w:rsidP="00AD47BD">
      <w:pPr>
        <w:ind w:right="-90"/>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47BD">
      <w:pPr>
        <w:ind w:right="-90"/>
        <w:contextualSpacing/>
        <w:jc w:val="both"/>
        <w:rPr>
          <w:rFonts w:eastAsia="Times New Roman" w:cs="Courier New"/>
        </w:rPr>
      </w:pPr>
    </w:p>
    <w:p w14:paraId="6584EBC4" w14:textId="694A1497" w:rsidR="002E444C" w:rsidRPr="00546E95" w:rsidRDefault="001812CA" w:rsidP="00AD47BD">
      <w:pPr>
        <w:ind w:right="-90"/>
        <w:contextualSpacing/>
        <w:jc w:val="both"/>
        <w:rPr>
          <w:rFonts w:eastAsia="Times New Roman" w:cs="Courier New"/>
        </w:rPr>
      </w:pPr>
      <w:r>
        <w:rPr>
          <w:w w:val="105"/>
        </w:rPr>
        <w:t xml:space="preserve">He was entitled to store his vehicle and get reimbursed while stationed at </w:t>
      </w:r>
      <w:proofErr w:type="spellStart"/>
      <w:r>
        <w:rPr>
          <w:w w:val="105"/>
        </w:rPr>
        <w:t>Kadena</w:t>
      </w:r>
      <w:proofErr w:type="spellEnd"/>
      <w:r>
        <w:rPr>
          <w:w w:val="105"/>
        </w:rPr>
        <w:t xml:space="preserve"> Air Base Japan.  Prior to </w:t>
      </w:r>
      <w:proofErr w:type="spellStart"/>
      <w:r>
        <w:rPr>
          <w:w w:val="105"/>
        </w:rPr>
        <w:t>PCSing</w:t>
      </w:r>
      <w:proofErr w:type="spellEnd"/>
      <w:r>
        <w:rPr>
          <w:w w:val="105"/>
        </w:rPr>
        <w:t xml:space="preserve"> from </w:t>
      </w:r>
      <w:proofErr w:type="spellStart"/>
      <w:r>
        <w:rPr>
          <w:w w:val="105"/>
        </w:rPr>
        <w:t>Kadena</w:t>
      </w:r>
      <w:proofErr w:type="spellEnd"/>
      <w:r>
        <w:rPr>
          <w:w w:val="105"/>
        </w:rPr>
        <w:t xml:space="preserve"> to RAF </w:t>
      </w:r>
      <w:proofErr w:type="spellStart"/>
      <w:r>
        <w:rPr>
          <w:w w:val="105"/>
        </w:rPr>
        <w:t>Mildenhall</w:t>
      </w:r>
      <w:proofErr w:type="spellEnd"/>
      <w:r>
        <w:rPr>
          <w:w w:val="105"/>
        </w:rPr>
        <w:t>, United Kingdom</w:t>
      </w:r>
      <w:r w:rsidR="00657BA5">
        <w:rPr>
          <w:w w:val="105"/>
        </w:rPr>
        <w:t>,</w:t>
      </w:r>
      <w:r>
        <w:rPr>
          <w:w w:val="105"/>
        </w:rPr>
        <w:t xml:space="preserve"> he was told by Transportation Management Office (TMO) personnel at </w:t>
      </w:r>
      <w:proofErr w:type="spellStart"/>
      <w:r>
        <w:rPr>
          <w:w w:val="105"/>
        </w:rPr>
        <w:t>Kadena</w:t>
      </w:r>
      <w:proofErr w:type="spellEnd"/>
      <w:r>
        <w:rPr>
          <w:w w:val="105"/>
        </w:rPr>
        <w:t xml:space="preserve"> he would be able to ke</w:t>
      </w:r>
      <w:r w:rsidR="00FE48E4">
        <w:rPr>
          <w:w w:val="105"/>
        </w:rPr>
        <w:t>ep the</w:t>
      </w:r>
      <w:r>
        <w:rPr>
          <w:w w:val="105"/>
        </w:rPr>
        <w:t xml:space="preserve"> entitlement for the duration of his tour at </w:t>
      </w:r>
      <w:proofErr w:type="spellStart"/>
      <w:r>
        <w:rPr>
          <w:w w:val="105"/>
        </w:rPr>
        <w:t>Mildenhall</w:t>
      </w:r>
      <w:proofErr w:type="spellEnd"/>
      <w:r>
        <w:rPr>
          <w:w w:val="105"/>
        </w:rPr>
        <w:t>. Now, per regulation, he is required to ship his POV to hi</w:t>
      </w:r>
      <w:r w:rsidR="00FE48E4">
        <w:rPr>
          <w:w w:val="105"/>
        </w:rPr>
        <w:t xml:space="preserve">s duty station at </w:t>
      </w:r>
      <w:proofErr w:type="spellStart"/>
      <w:r w:rsidR="00FE48E4">
        <w:rPr>
          <w:w w:val="105"/>
        </w:rPr>
        <w:t>Mildenhall</w:t>
      </w:r>
      <w:proofErr w:type="spellEnd"/>
      <w:r w:rsidR="00FE48E4">
        <w:rPr>
          <w:w w:val="105"/>
        </w:rPr>
        <w:t xml:space="preserve">.  </w:t>
      </w:r>
      <w:r>
        <w:rPr>
          <w:w w:val="105"/>
        </w:rPr>
        <w:t xml:space="preserve">Due to the miscounseling he acquired excess storage fees for 11 months, totaling $2,380.00.   </w:t>
      </w:r>
    </w:p>
    <w:p w14:paraId="28F9407D" w14:textId="77777777" w:rsidR="00C44B60" w:rsidRPr="00546E95" w:rsidRDefault="00C44B60" w:rsidP="00AD47BD">
      <w:pPr>
        <w:ind w:right="-90"/>
        <w:contextualSpacing/>
        <w:jc w:val="both"/>
        <w:rPr>
          <w:rFonts w:eastAsia="Times New Roman" w:cs="Courier New"/>
        </w:rPr>
      </w:pPr>
    </w:p>
    <w:p w14:paraId="6584EBC7" w14:textId="436D0DD5" w:rsidR="00F54DB7" w:rsidRPr="00546E95" w:rsidRDefault="00F54DB7" w:rsidP="00AD47BD">
      <w:pPr>
        <w:ind w:right="-90"/>
        <w:contextualSpacing/>
        <w:jc w:val="both"/>
        <w:rPr>
          <w:rFonts w:eastAsia="Times New Roman" w:cs="Courier New"/>
        </w:rPr>
      </w:pPr>
      <w:r w:rsidRPr="00546E95">
        <w:rPr>
          <w:rFonts w:eastAsia="Times New Roman" w:cs="Courier New"/>
        </w:rPr>
        <w:t xml:space="preserve">The applicant’s complete submission, </w:t>
      </w:r>
      <w:r w:rsidR="0064337C">
        <w:rPr>
          <w:rFonts w:eastAsia="Times New Roman" w:cs="Courier New"/>
        </w:rPr>
        <w:t>with attachments, is at Exhibit </w:t>
      </w:r>
      <w:r w:rsidRPr="00546E95">
        <w:rPr>
          <w:rFonts w:eastAsia="Times New Roman" w:cs="Courier New"/>
        </w:rPr>
        <w:t>A.</w:t>
      </w:r>
    </w:p>
    <w:p w14:paraId="6584EBC8" w14:textId="77777777" w:rsidR="00F54DB7" w:rsidRPr="00546E95" w:rsidRDefault="00F54DB7" w:rsidP="00AD47BD">
      <w:pPr>
        <w:pBdr>
          <w:bottom w:val="single" w:sz="6" w:space="1" w:color="auto"/>
        </w:pBdr>
        <w:ind w:right="-90"/>
        <w:contextualSpacing/>
        <w:jc w:val="both"/>
        <w:rPr>
          <w:rFonts w:eastAsia="Times New Roman" w:cs="Courier New"/>
        </w:rPr>
      </w:pPr>
    </w:p>
    <w:p w14:paraId="6584EBC9" w14:textId="77777777" w:rsidR="00F54DB7" w:rsidRPr="00546E95" w:rsidRDefault="00F54DB7" w:rsidP="00AD47BD">
      <w:pPr>
        <w:ind w:right="-90"/>
        <w:contextualSpacing/>
        <w:jc w:val="both"/>
        <w:rPr>
          <w:rFonts w:eastAsia="Times New Roman" w:cs="Courier New"/>
        </w:rPr>
      </w:pPr>
    </w:p>
    <w:p w14:paraId="6584EBCA" w14:textId="77777777" w:rsidR="00F54DB7" w:rsidRPr="00546E95" w:rsidRDefault="00F54DB7" w:rsidP="00AD47BD">
      <w:pPr>
        <w:ind w:right="-90"/>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47BD">
      <w:pPr>
        <w:ind w:right="-90"/>
        <w:contextualSpacing/>
        <w:jc w:val="both"/>
        <w:rPr>
          <w:rFonts w:eastAsia="Times New Roman" w:cs="Courier New"/>
        </w:rPr>
      </w:pPr>
    </w:p>
    <w:p w14:paraId="6584EBCC" w14:textId="65C3E427" w:rsidR="00F54DB7" w:rsidRPr="00546E95" w:rsidRDefault="00F54DB7" w:rsidP="00AD47BD">
      <w:pPr>
        <w:ind w:right="-90"/>
        <w:contextualSpacing/>
        <w:jc w:val="both"/>
        <w:rPr>
          <w:rFonts w:eastAsia="Times New Roman" w:cs="Courier New"/>
        </w:rPr>
      </w:pPr>
      <w:r w:rsidRPr="00546E95">
        <w:rPr>
          <w:rFonts w:eastAsia="Times New Roman" w:cs="Courier New"/>
        </w:rPr>
        <w:t xml:space="preserve">The applicant </w:t>
      </w:r>
      <w:r w:rsidR="008973BF">
        <w:rPr>
          <w:rFonts w:eastAsia="Times New Roman" w:cs="Courier New"/>
        </w:rPr>
        <w:t xml:space="preserve">served on active duty in the grade of colonel during </w:t>
      </w:r>
      <w:r w:rsidR="00657BA5">
        <w:rPr>
          <w:rFonts w:eastAsia="Times New Roman" w:cs="Courier New"/>
        </w:rPr>
        <w:t xml:space="preserve">the period of time of </w:t>
      </w:r>
      <w:r w:rsidR="008973BF">
        <w:rPr>
          <w:rFonts w:eastAsia="Times New Roman" w:cs="Courier New"/>
        </w:rPr>
        <w:t>the matter under review.</w:t>
      </w:r>
    </w:p>
    <w:p w14:paraId="6584EBCD" w14:textId="77777777" w:rsidR="00F54DB7" w:rsidRPr="00546E95" w:rsidRDefault="00F54DB7" w:rsidP="00AD47BD">
      <w:pPr>
        <w:ind w:right="-90"/>
        <w:contextualSpacing/>
        <w:jc w:val="both"/>
        <w:rPr>
          <w:rFonts w:eastAsia="Times New Roman" w:cs="Courier New"/>
        </w:rPr>
      </w:pPr>
    </w:p>
    <w:p w14:paraId="6584EBCF" w14:textId="7F3BE80C" w:rsidR="00F54DB7" w:rsidRDefault="00D9757F" w:rsidP="00AD47BD">
      <w:pPr>
        <w:ind w:right="-90"/>
        <w:contextualSpacing/>
        <w:jc w:val="both"/>
        <w:rPr>
          <w:w w:val="105"/>
        </w:rPr>
      </w:pPr>
      <w:r>
        <w:rPr>
          <w:w w:val="105"/>
        </w:rPr>
        <w:t>Under Special Order AI-06</w:t>
      </w:r>
      <w:r w:rsidR="0044749C">
        <w:rPr>
          <w:w w:val="105"/>
        </w:rPr>
        <w:t>9082,</w:t>
      </w:r>
      <w:r>
        <w:rPr>
          <w:w w:val="105"/>
        </w:rPr>
        <w:t xml:space="preserve"> dated 10 Apr </w:t>
      </w:r>
      <w:r w:rsidR="0044749C">
        <w:rPr>
          <w:w w:val="105"/>
        </w:rPr>
        <w:t xml:space="preserve">15, the applicant was reassigned on a permanent change of station (PCS) from </w:t>
      </w:r>
      <w:proofErr w:type="spellStart"/>
      <w:r w:rsidR="0044749C">
        <w:rPr>
          <w:w w:val="105"/>
        </w:rPr>
        <w:t>Kadena</w:t>
      </w:r>
      <w:proofErr w:type="spellEnd"/>
      <w:r w:rsidR="0044749C">
        <w:t> </w:t>
      </w:r>
      <w:r w:rsidR="0044749C">
        <w:rPr>
          <w:w w:val="105"/>
        </w:rPr>
        <w:t xml:space="preserve">AB, Japan, to RAF </w:t>
      </w:r>
      <w:proofErr w:type="spellStart"/>
      <w:r w:rsidR="0044749C">
        <w:rPr>
          <w:w w:val="105"/>
        </w:rPr>
        <w:t>Mildenhall</w:t>
      </w:r>
      <w:proofErr w:type="spellEnd"/>
      <w:r w:rsidR="0044749C">
        <w:rPr>
          <w:w w:val="105"/>
        </w:rPr>
        <w:t>, UK.</w:t>
      </w:r>
    </w:p>
    <w:p w14:paraId="096BD97B" w14:textId="77777777" w:rsidR="0044749C" w:rsidRPr="00546E95" w:rsidRDefault="0044749C" w:rsidP="00AD47BD">
      <w:pPr>
        <w:ind w:right="-90"/>
        <w:contextualSpacing/>
        <w:jc w:val="both"/>
        <w:rPr>
          <w:rFonts w:eastAsia="Times New Roman" w:cs="Courier New"/>
        </w:rPr>
      </w:pPr>
    </w:p>
    <w:p w14:paraId="4AE68C33" w14:textId="23DD0E90" w:rsidR="00AD47BD" w:rsidRPr="00406D55" w:rsidRDefault="00AD47BD" w:rsidP="00D056FD">
      <w:pPr>
        <w:ind w:right="-90"/>
        <w:contextualSpacing/>
        <w:jc w:val="both"/>
        <w:rPr>
          <w:rFonts w:eastAsia="Calibri" w:cs="Courier New"/>
        </w:rPr>
      </w:pPr>
      <w:r w:rsidRPr="00406D55">
        <w:rPr>
          <w:rFonts w:eastAsia="Calibri" w:cs="Courier New"/>
        </w:rPr>
        <w:t>The remaining relevant facts pertaining to this application are described in the memorand</w:t>
      </w:r>
      <w:r w:rsidR="00D056FD">
        <w:rPr>
          <w:rFonts w:eastAsia="Calibri" w:cs="Courier New"/>
        </w:rPr>
        <w:t>um</w:t>
      </w:r>
      <w:r w:rsidRPr="00406D55">
        <w:rPr>
          <w:rFonts w:eastAsia="Calibri" w:cs="Courier New"/>
        </w:rPr>
        <w:t xml:space="preserve"> prepared by the Air Force office of primary responsibility (OPR), which </w:t>
      </w:r>
      <w:r w:rsidR="0044749C">
        <w:rPr>
          <w:rFonts w:eastAsia="Calibri" w:cs="Courier New"/>
        </w:rPr>
        <w:t>is</w:t>
      </w:r>
      <w:r w:rsidRPr="00406D55">
        <w:rPr>
          <w:rFonts w:eastAsia="Calibri" w:cs="Courier New"/>
        </w:rPr>
        <w:t xml:space="preserve"> included at Exhibit C.</w:t>
      </w:r>
    </w:p>
    <w:p w14:paraId="6584EBD1" w14:textId="77777777" w:rsidR="00F54DB7" w:rsidRPr="00546E95" w:rsidRDefault="00F54DB7" w:rsidP="00AD47BD">
      <w:pPr>
        <w:pBdr>
          <w:bottom w:val="single" w:sz="6" w:space="1" w:color="auto"/>
        </w:pBdr>
        <w:ind w:right="-90"/>
        <w:contextualSpacing/>
        <w:jc w:val="both"/>
        <w:rPr>
          <w:rFonts w:eastAsia="Times New Roman" w:cs="Courier New"/>
        </w:rPr>
      </w:pPr>
    </w:p>
    <w:p w14:paraId="6584EBD2" w14:textId="77777777" w:rsidR="00F54DB7" w:rsidRPr="00546E95" w:rsidRDefault="00F54DB7" w:rsidP="00AD47BD">
      <w:pPr>
        <w:ind w:right="-90"/>
        <w:contextualSpacing/>
        <w:jc w:val="both"/>
        <w:rPr>
          <w:rFonts w:eastAsia="Times New Roman" w:cs="Courier New"/>
          <w:u w:val="single"/>
        </w:rPr>
      </w:pPr>
    </w:p>
    <w:p w14:paraId="6584EBD3" w14:textId="77777777" w:rsidR="00F54DB7" w:rsidRPr="00546E95" w:rsidRDefault="00F54DB7" w:rsidP="00AD47BD">
      <w:pPr>
        <w:ind w:right="-90"/>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14:paraId="6584EBD4" w14:textId="77777777" w:rsidR="00F54DB7" w:rsidRPr="00546E95" w:rsidRDefault="00F54DB7" w:rsidP="00AD47BD">
      <w:pPr>
        <w:ind w:right="-90"/>
        <w:contextualSpacing/>
        <w:jc w:val="both"/>
        <w:rPr>
          <w:rFonts w:eastAsia="Times New Roman" w:cs="Courier New"/>
        </w:rPr>
      </w:pPr>
    </w:p>
    <w:p w14:paraId="09047EBD" w14:textId="5B21233E" w:rsidR="00A531EC" w:rsidRDefault="008B0D4C" w:rsidP="00AD47BD">
      <w:pPr>
        <w:ind w:right="-90"/>
        <w:contextualSpacing/>
        <w:jc w:val="both"/>
        <w:rPr>
          <w:w w:val="105"/>
        </w:rPr>
      </w:pPr>
      <w:r>
        <w:rPr>
          <w:rFonts w:eastAsia="Calibri" w:cs="Courier New"/>
        </w:rPr>
        <w:t>PPA HQ/PPE</w:t>
      </w:r>
      <w:r w:rsidRPr="00546E95">
        <w:rPr>
          <w:rFonts w:eastAsia="Times New Roman" w:cs="Courier New"/>
        </w:rPr>
        <w:t xml:space="preserve"> </w:t>
      </w:r>
      <w:r w:rsidR="00F54DB7" w:rsidRPr="00546E95">
        <w:rPr>
          <w:rFonts w:eastAsia="Times New Roman" w:cs="Courier New"/>
        </w:rPr>
        <w:t xml:space="preserve">recommends </w:t>
      </w:r>
      <w:r w:rsidR="00AD47BD">
        <w:rPr>
          <w:rFonts w:eastAsia="Times New Roman" w:cs="Courier New"/>
        </w:rPr>
        <w:t>granting the applicant’s request,</w:t>
      </w:r>
      <w:r w:rsidR="00F54DB7" w:rsidRPr="00546E95">
        <w:rPr>
          <w:rFonts w:eastAsia="Times New Roman" w:cs="Courier New"/>
        </w:rPr>
        <w:t xml:space="preserve"> indicating there is evidence of an error or injustice.  </w:t>
      </w:r>
      <w:r w:rsidR="000001F4">
        <w:rPr>
          <w:w w:val="105"/>
        </w:rPr>
        <w:t xml:space="preserve">The Personal Property Consignment Instruction Guide (PPCIG) Volume 2 advises shipment </w:t>
      </w:r>
      <w:r w:rsidR="000001F4">
        <w:rPr>
          <w:w w:val="105"/>
        </w:rPr>
        <w:lastRenderedPageBreak/>
        <w:t xml:space="preserve">of one POV is authorized for Air Force personnel who serve a tour in the United Kingdom.  Per the JTR, if authorization exists for a POV shipment, storage cannot be authorized.  However, although the PPCIG clearly states a POV shipment is authorized for members assigned to the United Kingdom, the applicant’s </w:t>
      </w:r>
      <w:r w:rsidR="00A531EC">
        <w:rPr>
          <w:w w:val="105"/>
        </w:rPr>
        <w:t>PCS order only indicated</w:t>
      </w:r>
      <w:r w:rsidR="000001F4">
        <w:rPr>
          <w:w w:val="105"/>
        </w:rPr>
        <w:t xml:space="preserve"> he had a POV in storage and did not reflect authorization for shipment, which would have eliminated the authorization for further storage.  </w:t>
      </w:r>
      <w:r w:rsidR="00A531EC">
        <w:rPr>
          <w:w w:val="105"/>
        </w:rPr>
        <w:t>In fact, I</w:t>
      </w:r>
      <w:r w:rsidR="00043F4A">
        <w:rPr>
          <w:w w:val="105"/>
        </w:rPr>
        <w:t>tem </w:t>
      </w:r>
      <w:r w:rsidR="0044749C">
        <w:rPr>
          <w:w w:val="105"/>
        </w:rPr>
        <w:t>10 of the applicant’s PCS orders indicates "Airman has a POV in storage at government expense (Richmond, Virginia)</w:t>
      </w:r>
      <w:r w:rsidR="006F77C8">
        <w:rPr>
          <w:w w:val="105"/>
        </w:rPr>
        <w:t>.</w:t>
      </w:r>
      <w:r w:rsidR="0044749C">
        <w:rPr>
          <w:w w:val="105"/>
        </w:rPr>
        <w:t xml:space="preserve">"  </w:t>
      </w:r>
    </w:p>
    <w:p w14:paraId="77A689AB" w14:textId="77777777" w:rsidR="00A531EC" w:rsidRDefault="00A531EC" w:rsidP="00AD47BD">
      <w:pPr>
        <w:ind w:right="-90"/>
        <w:contextualSpacing/>
        <w:jc w:val="both"/>
        <w:rPr>
          <w:w w:val="105"/>
        </w:rPr>
      </w:pPr>
    </w:p>
    <w:p w14:paraId="283F55D2" w14:textId="411276C3" w:rsidR="0044749C" w:rsidRDefault="0044749C" w:rsidP="00AD47BD">
      <w:pPr>
        <w:ind w:right="-90"/>
        <w:contextualSpacing/>
        <w:jc w:val="both"/>
        <w:rPr>
          <w:w w:val="105"/>
        </w:rPr>
      </w:pPr>
      <w:r>
        <w:rPr>
          <w:w w:val="105"/>
        </w:rPr>
        <w:t xml:space="preserve">Under the previous assignment to </w:t>
      </w:r>
      <w:proofErr w:type="spellStart"/>
      <w:r>
        <w:rPr>
          <w:w w:val="105"/>
        </w:rPr>
        <w:t>Kadena</w:t>
      </w:r>
      <w:proofErr w:type="spellEnd"/>
      <w:r>
        <w:rPr>
          <w:w w:val="105"/>
        </w:rPr>
        <w:t xml:space="preserve"> the applicant was authorized storage of his POV and chose to personally procure the storage and receive reimbursement for the storage costs. Upon reassignment from </w:t>
      </w:r>
      <w:proofErr w:type="spellStart"/>
      <w:r>
        <w:rPr>
          <w:w w:val="105"/>
        </w:rPr>
        <w:t>Kadena</w:t>
      </w:r>
      <w:proofErr w:type="spellEnd"/>
      <w:r>
        <w:rPr>
          <w:w w:val="105"/>
        </w:rPr>
        <w:t xml:space="preserve"> to </w:t>
      </w:r>
      <w:proofErr w:type="spellStart"/>
      <w:r>
        <w:rPr>
          <w:w w:val="105"/>
        </w:rPr>
        <w:t>Mildenhall</w:t>
      </w:r>
      <w:proofErr w:type="spellEnd"/>
      <w:r>
        <w:rPr>
          <w:w w:val="105"/>
        </w:rPr>
        <w:t xml:space="preserve">, the applicant chose to continue to personally procure the POV storage with reimbursement.  </w:t>
      </w:r>
      <w:r w:rsidR="00A531EC">
        <w:rPr>
          <w:w w:val="105"/>
        </w:rPr>
        <w:t>W</w:t>
      </w:r>
      <w:r>
        <w:rPr>
          <w:w w:val="105"/>
        </w:rPr>
        <w:t xml:space="preserve">hen he attempted to receive reimbursement for the POV storage after reassignment to </w:t>
      </w:r>
      <w:proofErr w:type="spellStart"/>
      <w:r>
        <w:rPr>
          <w:w w:val="105"/>
        </w:rPr>
        <w:t>Mildenhall</w:t>
      </w:r>
      <w:proofErr w:type="spellEnd"/>
      <w:r>
        <w:rPr>
          <w:w w:val="105"/>
        </w:rPr>
        <w:t xml:space="preserve">, he was advised POV storage was not authorized for members assigned to </w:t>
      </w:r>
      <w:proofErr w:type="spellStart"/>
      <w:r>
        <w:rPr>
          <w:w w:val="105"/>
        </w:rPr>
        <w:t>Mildenhall</w:t>
      </w:r>
      <w:proofErr w:type="spellEnd"/>
      <w:r>
        <w:rPr>
          <w:w w:val="105"/>
        </w:rPr>
        <w:t>, and his reimbursement request was denied.</w:t>
      </w:r>
    </w:p>
    <w:p w14:paraId="044467DE" w14:textId="77777777" w:rsidR="00AF3E73" w:rsidRDefault="00AF3E73" w:rsidP="00AD47BD">
      <w:pPr>
        <w:ind w:right="-90"/>
        <w:contextualSpacing/>
        <w:jc w:val="both"/>
        <w:rPr>
          <w:w w:val="105"/>
        </w:rPr>
      </w:pPr>
    </w:p>
    <w:p w14:paraId="6F1B7A4C" w14:textId="7EBBC4DE" w:rsidR="000001F4" w:rsidRDefault="00AF3E73" w:rsidP="00AD47BD">
      <w:pPr>
        <w:ind w:right="-90"/>
        <w:contextualSpacing/>
        <w:jc w:val="both"/>
        <w:rPr>
          <w:rFonts w:eastAsia="Times New Roman" w:cs="Courier New"/>
        </w:rPr>
      </w:pPr>
      <w:r>
        <w:rPr>
          <w:w w:val="105"/>
        </w:rPr>
        <w:t xml:space="preserve">TMO at </w:t>
      </w:r>
      <w:proofErr w:type="spellStart"/>
      <w:r>
        <w:rPr>
          <w:w w:val="105"/>
        </w:rPr>
        <w:t>Kadena</w:t>
      </w:r>
      <w:proofErr w:type="spellEnd"/>
      <w:r>
        <w:rPr>
          <w:w w:val="105"/>
        </w:rPr>
        <w:t xml:space="preserve"> </w:t>
      </w:r>
      <w:r w:rsidR="00A531EC">
        <w:rPr>
          <w:w w:val="105"/>
        </w:rPr>
        <w:t>indicates</w:t>
      </w:r>
      <w:r>
        <w:rPr>
          <w:w w:val="105"/>
        </w:rPr>
        <w:t xml:space="preserve"> </w:t>
      </w:r>
      <w:r w:rsidR="00A531EC">
        <w:rPr>
          <w:w w:val="105"/>
        </w:rPr>
        <w:t>it i</w:t>
      </w:r>
      <w:r>
        <w:rPr>
          <w:w w:val="105"/>
        </w:rPr>
        <w:t xml:space="preserve">s evident there was confusion regarding POV entitlements and concurred the applicant was provided unclear and/or incorrect guidance. </w:t>
      </w:r>
      <w:r w:rsidR="00A531EC">
        <w:rPr>
          <w:w w:val="105"/>
        </w:rPr>
        <w:t xml:space="preserve"> </w:t>
      </w:r>
      <w:r w:rsidR="000001F4">
        <w:rPr>
          <w:w w:val="105"/>
        </w:rPr>
        <w:t xml:space="preserve">The omission of the shipment authorization statement in the order, along with the statement from the TMO at </w:t>
      </w:r>
      <w:proofErr w:type="spellStart"/>
      <w:r w:rsidR="000001F4">
        <w:rPr>
          <w:w w:val="105"/>
        </w:rPr>
        <w:t>Kadena</w:t>
      </w:r>
      <w:proofErr w:type="spellEnd"/>
      <w:r w:rsidR="000001F4">
        <w:rPr>
          <w:w w:val="105"/>
        </w:rPr>
        <w:t xml:space="preserve"> indicating concurrence that the applicant was provided unclear and/or incorrect guidance, indicates the applicant made a decision based on erroneous/incomplete guidance, resulting in his paying for an unauthorized service.  Therefore, reimbursement should be authorized.</w:t>
      </w:r>
    </w:p>
    <w:p w14:paraId="6584EBD6" w14:textId="77777777" w:rsidR="00F54DB7" w:rsidRPr="00546E95" w:rsidRDefault="00F54DB7" w:rsidP="00AD47BD">
      <w:pPr>
        <w:ind w:right="-90"/>
        <w:contextualSpacing/>
        <w:jc w:val="both"/>
        <w:rPr>
          <w:rFonts w:eastAsia="Times New Roman" w:cs="Courier New"/>
        </w:rPr>
      </w:pPr>
    </w:p>
    <w:p w14:paraId="6584EBD7" w14:textId="4358A240" w:rsidR="00F54DB7" w:rsidRDefault="00F54DB7" w:rsidP="00AD47BD">
      <w:pPr>
        <w:ind w:right="-90"/>
        <w:contextualSpacing/>
        <w:jc w:val="both"/>
        <w:rPr>
          <w:rFonts w:eastAsia="Times New Roman" w:cs="Courier New"/>
        </w:rPr>
      </w:pPr>
      <w:r w:rsidRPr="00546E95">
        <w:rPr>
          <w:rFonts w:eastAsia="Times New Roman" w:cs="Courier New"/>
        </w:rPr>
        <w:t xml:space="preserve">A complete copy of the </w:t>
      </w:r>
      <w:r w:rsidR="008B0D4C">
        <w:rPr>
          <w:rFonts w:eastAsia="Calibri" w:cs="Courier New"/>
        </w:rPr>
        <w:t>PPA HQ/PPE</w:t>
      </w:r>
      <w:r w:rsidRPr="00546E95">
        <w:rPr>
          <w:rFonts w:eastAsia="Times New Roman" w:cs="Courier New"/>
        </w:rPr>
        <w:t xml:space="preserve"> evaluation is at Exhibit C.</w:t>
      </w:r>
    </w:p>
    <w:p w14:paraId="6584EBD8" w14:textId="77777777" w:rsidR="00F54DB7" w:rsidRPr="00546E95" w:rsidRDefault="00F54DB7" w:rsidP="00AD47BD">
      <w:pPr>
        <w:pBdr>
          <w:bottom w:val="single" w:sz="6" w:space="1" w:color="auto"/>
        </w:pBdr>
        <w:ind w:right="-90"/>
        <w:contextualSpacing/>
        <w:jc w:val="both"/>
        <w:rPr>
          <w:rFonts w:eastAsia="Times New Roman" w:cs="Courier New"/>
        </w:rPr>
      </w:pPr>
    </w:p>
    <w:p w14:paraId="6584EBD9" w14:textId="77777777" w:rsidR="00F54DB7" w:rsidRPr="00546E95" w:rsidRDefault="00F54DB7" w:rsidP="00AD47BD">
      <w:pPr>
        <w:ind w:right="-90"/>
        <w:contextualSpacing/>
        <w:jc w:val="both"/>
        <w:rPr>
          <w:rFonts w:eastAsia="Times New Roman" w:cs="Courier New"/>
          <w:u w:val="single"/>
        </w:rPr>
      </w:pPr>
    </w:p>
    <w:p w14:paraId="6584EBDA" w14:textId="77777777" w:rsidR="00F54DB7" w:rsidRPr="00546E95" w:rsidRDefault="00F54DB7" w:rsidP="00AD47BD">
      <w:pPr>
        <w:ind w:right="-90"/>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14:paraId="6584EBDB" w14:textId="77777777" w:rsidR="00F54DB7" w:rsidRPr="00546E95" w:rsidRDefault="00F54DB7" w:rsidP="00AD47BD">
      <w:pPr>
        <w:ind w:right="-90"/>
        <w:contextualSpacing/>
        <w:jc w:val="both"/>
        <w:rPr>
          <w:rFonts w:eastAsia="Times New Roman" w:cs="Courier New"/>
        </w:rPr>
      </w:pPr>
    </w:p>
    <w:p w14:paraId="6584EBDC" w14:textId="72E7EF15" w:rsidR="00F54DB7" w:rsidRPr="00546E95" w:rsidRDefault="002E444C" w:rsidP="00AD47BD">
      <w:pPr>
        <w:ind w:right="-90"/>
        <w:contextualSpacing/>
        <w:jc w:val="both"/>
        <w:rPr>
          <w:rFonts w:eastAsia="Times New Roman" w:cs="Courier New"/>
        </w:rPr>
      </w:pPr>
      <w:r w:rsidRPr="00546E95">
        <w:rPr>
          <w:rFonts w:eastAsia="Times New Roman" w:cs="Courier New"/>
        </w:rPr>
        <w:t>A c</w:t>
      </w:r>
      <w:r w:rsidR="00F54DB7" w:rsidRPr="00546E95">
        <w:rPr>
          <w:rFonts w:eastAsia="Times New Roman" w:cs="Courier New"/>
        </w:rPr>
        <w:t>op</w:t>
      </w:r>
      <w:r w:rsidRPr="00546E95">
        <w:rPr>
          <w:rFonts w:eastAsia="Times New Roman" w:cs="Courier New"/>
        </w:rPr>
        <w:t>y</w:t>
      </w:r>
      <w:r w:rsidR="00F54DB7" w:rsidRPr="00546E95">
        <w:rPr>
          <w:rFonts w:eastAsia="Times New Roman" w:cs="Courier New"/>
        </w:rPr>
        <w:t xml:space="preserve"> of the Air Force evaluation w</w:t>
      </w:r>
      <w:r w:rsidRPr="00546E95">
        <w:rPr>
          <w:rFonts w:eastAsia="Times New Roman" w:cs="Courier New"/>
        </w:rPr>
        <w:t>as</w:t>
      </w:r>
      <w:r w:rsidR="007F1447">
        <w:rPr>
          <w:rFonts w:eastAsia="Times New Roman" w:cs="Courier New"/>
        </w:rPr>
        <w:t xml:space="preserve"> forwarded to the applicant on </w:t>
      </w:r>
      <w:r w:rsidR="008B0D4C">
        <w:rPr>
          <w:rFonts w:eastAsia="Calibri" w:cs="Courier New"/>
        </w:rPr>
        <w:t>27 Nov 17</w:t>
      </w:r>
      <w:r w:rsidR="007F1447">
        <w:rPr>
          <w:rFonts w:eastAsia="Times New Roman" w:cs="Courier New"/>
        </w:rPr>
        <w:t xml:space="preserve"> </w:t>
      </w:r>
      <w:r w:rsidR="00F54DB7" w:rsidRPr="00546E95">
        <w:rPr>
          <w:rFonts w:eastAsia="Times New Roman" w:cs="Courier New"/>
        </w:rPr>
        <w:t>for review and comment within 30 days</w:t>
      </w:r>
      <w:r w:rsidR="006D7EEF" w:rsidRPr="00546E95">
        <w:rPr>
          <w:rFonts w:eastAsia="Times New Roman" w:cs="Courier New"/>
        </w:rPr>
        <w:t xml:space="preserve"> (Exhibit </w:t>
      </w:r>
      <w:r w:rsidR="008B0D4C">
        <w:rPr>
          <w:rFonts w:eastAsia="Times New Roman" w:cs="Courier New"/>
        </w:rPr>
        <w:t>D</w:t>
      </w:r>
      <w:r w:rsidR="006D7EEF" w:rsidRPr="00546E95">
        <w:rPr>
          <w:rFonts w:eastAsia="Times New Roman" w:cs="Courier New"/>
        </w:rPr>
        <w:t>)</w:t>
      </w:r>
      <w:r w:rsidR="00F54DB7" w:rsidRPr="00546E95">
        <w:rPr>
          <w:rFonts w:eastAsia="Times New Roman" w:cs="Courier New"/>
        </w:rPr>
        <w:t>.  As of this date, no response has been received by this office.</w:t>
      </w:r>
    </w:p>
    <w:p w14:paraId="6584EBDD" w14:textId="77777777" w:rsidR="00F54DB7" w:rsidRPr="00546E95" w:rsidRDefault="00F54DB7" w:rsidP="00AD47BD">
      <w:pPr>
        <w:pBdr>
          <w:bottom w:val="single" w:sz="6" w:space="1" w:color="auto"/>
        </w:pBdr>
        <w:ind w:right="-90"/>
        <w:contextualSpacing/>
        <w:jc w:val="both"/>
        <w:rPr>
          <w:rFonts w:eastAsia="Times New Roman" w:cs="Courier New"/>
        </w:rPr>
      </w:pPr>
    </w:p>
    <w:p w14:paraId="6584EBDE" w14:textId="77777777" w:rsidR="00F54DB7" w:rsidRPr="00546E95" w:rsidRDefault="00F54DB7" w:rsidP="00AD47BD">
      <w:pPr>
        <w:ind w:right="-90"/>
        <w:contextualSpacing/>
        <w:rPr>
          <w:rFonts w:eastAsia="Times New Roman" w:cs="Courier New"/>
          <w:u w:val="single"/>
        </w:rPr>
      </w:pPr>
    </w:p>
    <w:p w14:paraId="787E8D43" w14:textId="46CBF828" w:rsidR="00101888" w:rsidRPr="00406D55" w:rsidRDefault="00101888" w:rsidP="00AD47BD">
      <w:pPr>
        <w:ind w:right="-90"/>
        <w:contextualSpacing/>
        <w:jc w:val="both"/>
        <w:rPr>
          <w:rFonts w:eastAsia="Calibri" w:cs="Courier New"/>
        </w:rPr>
      </w:pPr>
      <w:r w:rsidRPr="00406D55">
        <w:rPr>
          <w:rFonts w:eastAsia="Calibri" w:cs="Courier New"/>
          <w:u w:val="single"/>
        </w:rPr>
        <w:t>THE BOARD CONCLUDES THAT</w:t>
      </w:r>
      <w:r w:rsidRPr="00406D55">
        <w:rPr>
          <w:rFonts w:eastAsia="Calibri" w:cs="Courier New"/>
        </w:rPr>
        <w:t>:</w:t>
      </w:r>
    </w:p>
    <w:p w14:paraId="29FE3814" w14:textId="77777777" w:rsidR="00101888" w:rsidRPr="00406D55" w:rsidRDefault="00101888" w:rsidP="00AD47BD">
      <w:pPr>
        <w:ind w:right="-90"/>
        <w:contextualSpacing/>
        <w:jc w:val="both"/>
        <w:rPr>
          <w:rFonts w:eastAsia="Calibri" w:cs="Courier New"/>
        </w:rPr>
      </w:pPr>
    </w:p>
    <w:p w14:paraId="18BA30F5" w14:textId="77777777" w:rsidR="00101888" w:rsidRPr="00406D55" w:rsidRDefault="00101888" w:rsidP="00AD47BD">
      <w:pPr>
        <w:ind w:right="-90"/>
        <w:contextualSpacing/>
        <w:jc w:val="both"/>
        <w:rPr>
          <w:rFonts w:eastAsia="Calibri" w:cs="Courier New"/>
        </w:rPr>
      </w:pPr>
      <w:r w:rsidRPr="00406D55">
        <w:rPr>
          <w:rFonts w:eastAsia="Calibri" w:cs="Courier New"/>
        </w:rPr>
        <w:t>1.  The applicant has exhausted all remedies provided by existing law or regulations.</w:t>
      </w:r>
    </w:p>
    <w:p w14:paraId="39F4EABD" w14:textId="77777777" w:rsidR="00101888" w:rsidRPr="00406D55" w:rsidRDefault="00101888" w:rsidP="00AD47BD">
      <w:pPr>
        <w:ind w:right="-90"/>
        <w:contextualSpacing/>
        <w:jc w:val="both"/>
        <w:rPr>
          <w:rFonts w:eastAsia="Calibri" w:cs="Courier New"/>
        </w:rPr>
      </w:pPr>
    </w:p>
    <w:p w14:paraId="03DE364C" w14:textId="77777777" w:rsidR="00101888" w:rsidRPr="00406D55" w:rsidRDefault="00101888" w:rsidP="00AD47BD">
      <w:pPr>
        <w:ind w:right="-90"/>
        <w:contextualSpacing/>
        <w:jc w:val="both"/>
        <w:rPr>
          <w:rFonts w:eastAsia="Calibri" w:cs="Courier New"/>
        </w:rPr>
      </w:pPr>
      <w:r w:rsidRPr="00406D55">
        <w:rPr>
          <w:rFonts w:eastAsia="Calibri" w:cs="Courier New"/>
        </w:rPr>
        <w:t>2.  The application was timely filed.</w:t>
      </w:r>
    </w:p>
    <w:p w14:paraId="7ED5A8B8" w14:textId="77777777" w:rsidR="00101888" w:rsidRPr="00406D55" w:rsidRDefault="00101888" w:rsidP="00AD47BD">
      <w:pPr>
        <w:ind w:right="-90"/>
        <w:contextualSpacing/>
        <w:jc w:val="both"/>
        <w:rPr>
          <w:rFonts w:eastAsia="Calibri" w:cs="Courier New"/>
        </w:rPr>
      </w:pPr>
    </w:p>
    <w:p w14:paraId="337495C5" w14:textId="438474E7" w:rsidR="00101888" w:rsidRPr="00406D55" w:rsidRDefault="00101888" w:rsidP="00AD47BD">
      <w:pPr>
        <w:ind w:right="-90"/>
        <w:contextualSpacing/>
        <w:jc w:val="both"/>
        <w:rPr>
          <w:rFonts w:eastAsia="Calibri" w:cs="Courier New"/>
        </w:rPr>
      </w:pPr>
      <w:r w:rsidRPr="00406D55">
        <w:rPr>
          <w:rFonts w:eastAsia="Calibri" w:cs="Courier New"/>
        </w:rPr>
        <w:t xml:space="preserve">3.  Sufficient relevant evidence has been presented to demonstrate the existence of an error or injustice.  We took notice of the applicant's complete submission in judging the merits of the case and agree with the opinion and recommendation of </w:t>
      </w:r>
      <w:r w:rsidR="008B0D4C">
        <w:rPr>
          <w:rFonts w:eastAsia="Calibri" w:cs="Courier New"/>
        </w:rPr>
        <w:t>PPA HQ/PPE</w:t>
      </w:r>
      <w:r w:rsidRPr="00406D55">
        <w:rPr>
          <w:rFonts w:eastAsia="Calibri" w:cs="Courier New"/>
        </w:rPr>
        <w:t xml:space="preserve"> and </w:t>
      </w:r>
      <w:r w:rsidRPr="00406D55">
        <w:rPr>
          <w:rFonts w:eastAsia="Calibri" w:cs="Courier New"/>
        </w:rPr>
        <w:lastRenderedPageBreak/>
        <w:t>adopt its rationale as the basis for our conclusion the applicant has been the victim of an error or injustice.  Therefore, we recommend the applicant's records b</w:t>
      </w:r>
      <w:r w:rsidR="008B0D4C">
        <w:rPr>
          <w:rFonts w:eastAsia="Calibri" w:cs="Courier New"/>
        </w:rPr>
        <w:t>e corrected as indicated below.</w:t>
      </w:r>
    </w:p>
    <w:p w14:paraId="6D1D4464" w14:textId="77777777" w:rsidR="00101888" w:rsidRPr="00406D55" w:rsidRDefault="00101888" w:rsidP="00AD47BD">
      <w:pPr>
        <w:pBdr>
          <w:bottom w:val="single" w:sz="6" w:space="1" w:color="auto"/>
        </w:pBdr>
        <w:ind w:right="-90"/>
        <w:contextualSpacing/>
        <w:jc w:val="both"/>
        <w:rPr>
          <w:rFonts w:eastAsia="Calibri" w:cs="Courier New"/>
        </w:rPr>
      </w:pPr>
    </w:p>
    <w:p w14:paraId="16D5AFB6" w14:textId="77777777" w:rsidR="00101888" w:rsidRPr="00406D55" w:rsidRDefault="00101888" w:rsidP="00AD47BD">
      <w:pPr>
        <w:ind w:right="-90"/>
        <w:contextualSpacing/>
        <w:jc w:val="both"/>
        <w:rPr>
          <w:rFonts w:eastAsia="Calibri" w:cs="Courier New"/>
          <w:u w:val="single"/>
        </w:rPr>
      </w:pPr>
    </w:p>
    <w:p w14:paraId="1EC28481" w14:textId="6B50D495" w:rsidR="00101888" w:rsidRPr="00406D55" w:rsidRDefault="00101888" w:rsidP="00101549">
      <w:pPr>
        <w:tabs>
          <w:tab w:val="left" w:pos="8213"/>
        </w:tabs>
        <w:ind w:right="-90"/>
        <w:contextualSpacing/>
        <w:jc w:val="both"/>
        <w:rPr>
          <w:rFonts w:eastAsia="Calibri" w:cs="Courier New"/>
        </w:rPr>
      </w:pPr>
      <w:r w:rsidRPr="00406D55">
        <w:rPr>
          <w:rFonts w:eastAsia="Calibri" w:cs="Courier New"/>
          <w:u w:val="single"/>
        </w:rPr>
        <w:t>THE BOARD RECOMMENDS THAT</w:t>
      </w:r>
      <w:r w:rsidRPr="00406D55">
        <w:rPr>
          <w:rFonts w:eastAsia="Calibri" w:cs="Courier New"/>
        </w:rPr>
        <w:t>:</w:t>
      </w:r>
      <w:r w:rsidR="00101549">
        <w:rPr>
          <w:rFonts w:eastAsia="Calibri" w:cs="Courier New"/>
        </w:rPr>
        <w:tab/>
      </w:r>
    </w:p>
    <w:p w14:paraId="276202DC" w14:textId="77777777" w:rsidR="00101888" w:rsidRPr="00406D55" w:rsidRDefault="00101888" w:rsidP="00AD47BD">
      <w:pPr>
        <w:ind w:right="-90"/>
        <w:contextualSpacing/>
        <w:jc w:val="both"/>
        <w:rPr>
          <w:rFonts w:eastAsia="Calibri" w:cs="Courier New"/>
        </w:rPr>
      </w:pPr>
    </w:p>
    <w:p w14:paraId="06C9F06A" w14:textId="224870B8" w:rsidR="000001F4" w:rsidRPr="00406D55" w:rsidRDefault="00101888" w:rsidP="00101549">
      <w:pPr>
        <w:ind w:right="-90"/>
        <w:contextualSpacing/>
        <w:jc w:val="both"/>
        <w:rPr>
          <w:rFonts w:eastAsia="Calibri" w:cs="Courier New"/>
        </w:rPr>
      </w:pPr>
      <w:r w:rsidRPr="00406D55">
        <w:rPr>
          <w:rFonts w:eastAsia="Calibri" w:cs="Courier New"/>
        </w:rPr>
        <w:t xml:space="preserve">The pertinent military records of the Department of the Air Force relating to the APPLICANT be corrected to show </w:t>
      </w:r>
      <w:r w:rsidR="00101549">
        <w:rPr>
          <w:rFonts w:eastAsia="Calibri" w:cs="Courier New"/>
        </w:rPr>
        <w:t>he was</w:t>
      </w:r>
      <w:r w:rsidR="00C1314D">
        <w:rPr>
          <w:rFonts w:eastAsia="Calibri" w:cs="Courier New"/>
        </w:rPr>
        <w:t xml:space="preserve"> authorized the storage of his </w:t>
      </w:r>
      <w:r w:rsidR="000001F4">
        <w:rPr>
          <w:w w:val="105"/>
        </w:rPr>
        <w:t xml:space="preserve">Privately Owned Vehicle (POV) </w:t>
      </w:r>
      <w:r w:rsidR="00C1314D">
        <w:rPr>
          <w:w w:val="105"/>
        </w:rPr>
        <w:t xml:space="preserve">during his assignment to the United Kingdom in accordance with the Joint Travel Regulation, </w:t>
      </w:r>
      <w:r w:rsidR="000001F4">
        <w:rPr>
          <w:w w:val="105"/>
        </w:rPr>
        <w:t>paragraph 5378</w:t>
      </w:r>
      <w:r w:rsidR="00C1314D">
        <w:rPr>
          <w:w w:val="105"/>
        </w:rPr>
        <w:t xml:space="preserve">, and is authorized </w:t>
      </w:r>
      <w:r w:rsidR="000001F4">
        <w:rPr>
          <w:w w:val="105"/>
        </w:rPr>
        <w:t>reimbursement for POV storage.</w:t>
      </w:r>
    </w:p>
    <w:p w14:paraId="0AE6E4AC" w14:textId="77777777" w:rsidR="00101888" w:rsidRPr="00406D55" w:rsidRDefault="00101888" w:rsidP="00AD47BD">
      <w:pPr>
        <w:pBdr>
          <w:bottom w:val="single" w:sz="6" w:space="1" w:color="auto"/>
        </w:pBdr>
        <w:ind w:right="-90"/>
        <w:contextualSpacing/>
        <w:jc w:val="both"/>
        <w:rPr>
          <w:rFonts w:eastAsia="Calibri" w:cs="Courier New"/>
        </w:rPr>
      </w:pPr>
    </w:p>
    <w:p w14:paraId="56DF62F0" w14:textId="77777777" w:rsidR="00101888" w:rsidRPr="00406D55" w:rsidRDefault="00101888" w:rsidP="00AD47BD">
      <w:pPr>
        <w:ind w:right="-90"/>
        <w:contextualSpacing/>
        <w:jc w:val="both"/>
        <w:rPr>
          <w:rFonts w:eastAsia="Calibri" w:cs="Courier New"/>
        </w:rPr>
      </w:pPr>
    </w:p>
    <w:p w14:paraId="52E383D4" w14:textId="5E225BE5" w:rsidR="00101888" w:rsidRPr="00406D55" w:rsidRDefault="00101888" w:rsidP="00AD47BD">
      <w:pPr>
        <w:ind w:right="-90"/>
        <w:contextualSpacing/>
        <w:jc w:val="both"/>
        <w:rPr>
          <w:rFonts w:eastAsia="Calibri" w:cs="Courier New"/>
          <w:bCs/>
        </w:rPr>
      </w:pPr>
      <w:r w:rsidRPr="00406D55">
        <w:rPr>
          <w:rFonts w:eastAsia="Calibri" w:cs="Courier New"/>
        </w:rPr>
        <w:t xml:space="preserve">The following members of the Board considered AFBCMR Docket Number </w:t>
      </w:r>
      <w:r w:rsidR="00A0753D">
        <w:t>BC-2016-0</w:t>
      </w:r>
      <w:r w:rsidR="008B0D4C">
        <w:t>4760</w:t>
      </w:r>
      <w:r w:rsidR="00A0753D" w:rsidRPr="00F77744">
        <w:t xml:space="preserve"> </w:t>
      </w:r>
      <w:r w:rsidR="008B39DA">
        <w:rPr>
          <w:rFonts w:eastAsia="Calibri" w:cs="Courier New"/>
        </w:rPr>
        <w:t xml:space="preserve">in Executive Session on </w:t>
      </w:r>
      <w:r w:rsidR="005170CA">
        <w:rPr>
          <w:rFonts w:eastAsia="Calibri" w:cs="Courier New"/>
        </w:rPr>
        <w:t>14 Feb 1</w:t>
      </w:r>
      <w:r w:rsidR="006F77C8">
        <w:rPr>
          <w:rFonts w:eastAsia="Calibri" w:cs="Courier New"/>
        </w:rPr>
        <w:t>8</w:t>
      </w:r>
      <w:r w:rsidRPr="00406D55">
        <w:rPr>
          <w:rFonts w:eastAsia="Calibri" w:cs="Courier New"/>
          <w:bCs/>
        </w:rPr>
        <w:t xml:space="preserve"> </w:t>
      </w:r>
      <w:r w:rsidRPr="00406D55">
        <w:rPr>
          <w:rFonts w:eastAsia="Calibri" w:cs="Courier New"/>
        </w:rPr>
        <w:t>under the provisions of AFI 36-2603</w:t>
      </w:r>
      <w:r w:rsidR="007703AE">
        <w:rPr>
          <w:rFonts w:eastAsia="Times New Roman" w:cs="Courier New"/>
        </w:rPr>
        <w:t xml:space="preserve">, </w:t>
      </w:r>
      <w:r w:rsidR="007703AE" w:rsidRPr="00867C9E">
        <w:rPr>
          <w:rFonts w:eastAsia="Times New Roman" w:cs="Courier New"/>
          <w:i/>
        </w:rPr>
        <w:t>Air Force Board for Correction of Military Records</w:t>
      </w:r>
      <w:r w:rsidR="007703AE" w:rsidRPr="00546E95">
        <w:rPr>
          <w:rFonts w:eastAsia="Times New Roman" w:cs="Courier New"/>
        </w:rPr>
        <w:t>:</w:t>
      </w:r>
    </w:p>
    <w:p w14:paraId="7D453268" w14:textId="77777777" w:rsidR="00101888" w:rsidRPr="00406D55" w:rsidRDefault="00101888" w:rsidP="00AD47BD">
      <w:pPr>
        <w:ind w:right="-90"/>
        <w:contextualSpacing/>
        <w:jc w:val="both"/>
        <w:rPr>
          <w:rFonts w:eastAsia="Calibri" w:cs="Courier New"/>
        </w:rPr>
      </w:pPr>
    </w:p>
    <w:p w14:paraId="40201E95" w14:textId="531DFB09" w:rsidR="005170CA" w:rsidRPr="00910174" w:rsidRDefault="005170CA" w:rsidP="005170CA">
      <w:pPr>
        <w:ind w:right="-90"/>
        <w:contextualSpacing/>
        <w:jc w:val="both"/>
        <w:rPr>
          <w:rFonts w:cs="Courier New"/>
        </w:rPr>
      </w:pPr>
      <w:r w:rsidRPr="00910174">
        <w:rPr>
          <w:rFonts w:cs="Courier New"/>
        </w:rPr>
        <w:tab/>
        <w:t>Panel Chair</w:t>
      </w:r>
    </w:p>
    <w:p w14:paraId="2B420F2D" w14:textId="40345DEA" w:rsidR="005170CA" w:rsidRPr="00910174" w:rsidRDefault="005170CA" w:rsidP="005170CA">
      <w:pPr>
        <w:ind w:right="-90"/>
        <w:contextualSpacing/>
        <w:jc w:val="both"/>
        <w:rPr>
          <w:rFonts w:cs="Courier New"/>
        </w:rPr>
      </w:pPr>
      <w:r w:rsidRPr="00910174">
        <w:rPr>
          <w:rFonts w:cs="Courier New"/>
        </w:rPr>
        <w:tab/>
        <w:t>Member</w:t>
      </w:r>
    </w:p>
    <w:p w14:paraId="204CEB0B" w14:textId="3403A516" w:rsidR="005170CA" w:rsidRPr="00910174" w:rsidRDefault="005170CA" w:rsidP="005170CA">
      <w:pPr>
        <w:ind w:right="-90"/>
        <w:contextualSpacing/>
        <w:jc w:val="both"/>
        <w:rPr>
          <w:rFonts w:cs="Courier New"/>
        </w:rPr>
      </w:pPr>
      <w:r w:rsidRPr="00910174">
        <w:rPr>
          <w:rFonts w:cs="Courier New"/>
        </w:rPr>
        <w:tab/>
        <w:t>Member</w:t>
      </w:r>
    </w:p>
    <w:p w14:paraId="3E79B084" w14:textId="77777777" w:rsidR="00101888" w:rsidRPr="00406D55" w:rsidRDefault="00101888" w:rsidP="00AD47BD">
      <w:pPr>
        <w:ind w:right="-90"/>
        <w:contextualSpacing/>
        <w:jc w:val="both"/>
        <w:rPr>
          <w:rFonts w:eastAsia="Calibri" w:cs="Courier New"/>
        </w:rPr>
      </w:pPr>
    </w:p>
    <w:p w14:paraId="5D759F0E" w14:textId="41E1D997" w:rsidR="00101888" w:rsidRPr="00406D55" w:rsidRDefault="00101888" w:rsidP="00AD47BD">
      <w:pPr>
        <w:ind w:right="-90"/>
        <w:contextualSpacing/>
        <w:jc w:val="both"/>
        <w:rPr>
          <w:rFonts w:eastAsia="Calibri" w:cs="Courier New"/>
        </w:rPr>
      </w:pPr>
      <w:r w:rsidRPr="00406D55">
        <w:rPr>
          <w:rFonts w:eastAsia="Calibri" w:cs="Courier New"/>
        </w:rPr>
        <w:t>All members voted to correct the records as recommended.  The following documentary evidence was considered:</w:t>
      </w:r>
    </w:p>
    <w:p w14:paraId="0463B388" w14:textId="77777777" w:rsidR="00101888" w:rsidRPr="00406D55" w:rsidRDefault="00101888" w:rsidP="00AD47BD">
      <w:pPr>
        <w:ind w:right="-90"/>
        <w:contextualSpacing/>
        <w:jc w:val="both"/>
        <w:rPr>
          <w:rFonts w:eastAsia="Calibri" w:cs="Courier New"/>
        </w:rPr>
      </w:pPr>
    </w:p>
    <w:p w14:paraId="7FEB1AE8" w14:textId="0F8AFF41" w:rsidR="00101888" w:rsidRPr="00406D55" w:rsidRDefault="00101888" w:rsidP="00AD47BD">
      <w:pPr>
        <w:ind w:right="-90"/>
        <w:contextualSpacing/>
        <w:jc w:val="both"/>
        <w:rPr>
          <w:rFonts w:eastAsia="Calibri" w:cs="Courier New"/>
        </w:rPr>
      </w:pPr>
      <w:r w:rsidRPr="00406D55">
        <w:rPr>
          <w:rFonts w:eastAsia="Calibri" w:cs="Courier New"/>
        </w:rPr>
        <w:tab/>
        <w:t>Exhibit A.  DD Form 149, dated</w:t>
      </w:r>
      <w:r w:rsidR="00704E1B">
        <w:rPr>
          <w:rFonts w:eastAsia="Calibri" w:cs="Courier New"/>
        </w:rPr>
        <w:t xml:space="preserve"> </w:t>
      </w:r>
      <w:r w:rsidR="008B0D4C">
        <w:rPr>
          <w:rFonts w:eastAsia="Calibri" w:cs="Courier New"/>
        </w:rPr>
        <w:t>12 Nov 16</w:t>
      </w:r>
      <w:r w:rsidRPr="00406D55">
        <w:rPr>
          <w:rFonts w:eastAsia="Calibri" w:cs="Courier New"/>
        </w:rPr>
        <w:t>, w/</w:t>
      </w:r>
      <w:proofErr w:type="spellStart"/>
      <w:r w:rsidRPr="00406D55">
        <w:rPr>
          <w:rFonts w:eastAsia="Calibri" w:cs="Courier New"/>
        </w:rPr>
        <w:t>atch</w:t>
      </w:r>
      <w:proofErr w:type="spellEnd"/>
      <w:r w:rsidR="006872AA">
        <w:rPr>
          <w:rFonts w:eastAsia="Calibri" w:cs="Courier New"/>
        </w:rPr>
        <w:t>(</w:t>
      </w:r>
      <w:r w:rsidRPr="00406D55">
        <w:rPr>
          <w:rFonts w:eastAsia="Calibri" w:cs="Courier New"/>
        </w:rPr>
        <w:t>s</w:t>
      </w:r>
      <w:r w:rsidR="006872AA">
        <w:rPr>
          <w:rFonts w:eastAsia="Calibri" w:cs="Courier New"/>
        </w:rPr>
        <w:t>)</w:t>
      </w:r>
      <w:r w:rsidRPr="00406D55">
        <w:rPr>
          <w:rFonts w:eastAsia="Calibri" w:cs="Courier New"/>
        </w:rPr>
        <w:t>.</w:t>
      </w:r>
    </w:p>
    <w:p w14:paraId="770DEAD0" w14:textId="2095D4AB" w:rsidR="00101888" w:rsidRPr="00406D55" w:rsidRDefault="00101888" w:rsidP="002E3B01">
      <w:pPr>
        <w:ind w:right="-90"/>
        <w:contextualSpacing/>
        <w:rPr>
          <w:rFonts w:eastAsia="Calibri" w:cs="Courier New"/>
        </w:rPr>
      </w:pPr>
      <w:r w:rsidRPr="00406D55">
        <w:rPr>
          <w:rFonts w:eastAsia="Calibri" w:cs="Courier New"/>
        </w:rPr>
        <w:tab/>
        <w:t>Exhibit</w:t>
      </w:r>
      <w:r w:rsidR="002E3B01">
        <w:rPr>
          <w:rFonts w:eastAsia="Calibri" w:cs="Courier New"/>
        </w:rPr>
        <w:t xml:space="preserve"> </w:t>
      </w:r>
      <w:r w:rsidRPr="00406D55">
        <w:rPr>
          <w:rFonts w:eastAsia="Calibri" w:cs="Courier New"/>
        </w:rPr>
        <w:t>B.  </w:t>
      </w:r>
      <w:r w:rsidR="002E3B01">
        <w:rPr>
          <w:rFonts w:eastAsia="Calibri" w:cs="Courier New"/>
        </w:rPr>
        <w:t xml:space="preserve">Excerpts from </w:t>
      </w:r>
      <w:r w:rsidR="002E3B01" w:rsidRPr="00406D55">
        <w:rPr>
          <w:rFonts w:eastAsia="Calibri" w:cs="Courier New"/>
        </w:rPr>
        <w:t>Master Personnel Records.</w:t>
      </w:r>
      <w:r w:rsidRPr="00406D55">
        <w:rPr>
          <w:rFonts w:eastAsia="Calibri" w:cs="Courier New"/>
        </w:rPr>
        <w:tab/>
        <w:t xml:space="preserve">Exhibit C.  Memorandum, </w:t>
      </w:r>
      <w:r w:rsidR="008B0D4C">
        <w:rPr>
          <w:rFonts w:eastAsia="Calibri" w:cs="Courier New"/>
        </w:rPr>
        <w:t>PPA HQ/PPE</w:t>
      </w:r>
      <w:r w:rsidRPr="00406D55">
        <w:rPr>
          <w:rFonts w:eastAsia="Calibri" w:cs="Courier New"/>
        </w:rPr>
        <w:t xml:space="preserve">, dated </w:t>
      </w:r>
      <w:r w:rsidR="008B0D4C">
        <w:rPr>
          <w:rFonts w:eastAsia="Calibri" w:cs="Courier New"/>
        </w:rPr>
        <w:t>23 Oct 17</w:t>
      </w:r>
      <w:r w:rsidRPr="00406D55">
        <w:rPr>
          <w:rFonts w:eastAsia="Calibri" w:cs="Courier New"/>
        </w:rPr>
        <w:t>.</w:t>
      </w:r>
    </w:p>
    <w:p w14:paraId="5CDC5A3E" w14:textId="1AD86511" w:rsidR="00101888" w:rsidRDefault="008B0D4C" w:rsidP="00AD47BD">
      <w:pPr>
        <w:ind w:right="-90"/>
        <w:contextualSpacing/>
        <w:jc w:val="both"/>
        <w:rPr>
          <w:rFonts w:eastAsia="Calibri" w:cs="Courier New"/>
        </w:rPr>
      </w:pPr>
      <w:r>
        <w:rPr>
          <w:rFonts w:eastAsia="Calibri" w:cs="Courier New"/>
        </w:rPr>
        <w:tab/>
        <w:t>Exhibit D</w:t>
      </w:r>
      <w:r w:rsidR="00101888" w:rsidRPr="00406D55">
        <w:rPr>
          <w:rFonts w:eastAsia="Calibri" w:cs="Courier New"/>
        </w:rPr>
        <w:t>.  Letter, AF</w:t>
      </w:r>
      <w:r w:rsidR="00AD47BD">
        <w:rPr>
          <w:rFonts w:eastAsia="Calibri" w:cs="Courier New"/>
        </w:rPr>
        <w:t>BC</w:t>
      </w:r>
      <w:r w:rsidR="00101888" w:rsidRPr="00406D55">
        <w:rPr>
          <w:rFonts w:eastAsia="Calibri" w:cs="Courier New"/>
        </w:rPr>
        <w:t>MR, dated</w:t>
      </w:r>
      <w:r>
        <w:rPr>
          <w:rFonts w:eastAsia="Calibri" w:cs="Courier New"/>
        </w:rPr>
        <w:t xml:space="preserve"> 27 Nov 17</w:t>
      </w:r>
      <w:r w:rsidR="0029190F" w:rsidRPr="00406D55">
        <w:rPr>
          <w:rFonts w:eastAsia="Calibri" w:cs="Courier New"/>
        </w:rPr>
        <w:t>.</w:t>
      </w:r>
    </w:p>
    <w:p w14:paraId="3E768614" w14:textId="77777777" w:rsidR="00AD47BD" w:rsidRDefault="00AD47BD" w:rsidP="00AD47BD">
      <w:pPr>
        <w:ind w:right="-90"/>
        <w:contextualSpacing/>
        <w:jc w:val="both"/>
        <w:rPr>
          <w:rFonts w:eastAsia="Calibri" w:cs="Courier New"/>
        </w:rPr>
      </w:pPr>
    </w:p>
    <w:p w14:paraId="64029484" w14:textId="3CDAD826" w:rsidR="00AD47BD" w:rsidRDefault="00AD47BD" w:rsidP="008B0D4C">
      <w:pPr>
        <w:ind w:right="-86"/>
        <w:contextualSpacing/>
        <w:jc w:val="both"/>
        <w:rPr>
          <w:rFonts w:eastAsia="Calibri" w:cs="Courier New"/>
        </w:rPr>
      </w:pPr>
      <w:r w:rsidRPr="00662C5B">
        <w:rPr>
          <w:rFonts w:eastAsia="Calibri" w:cs="Courier New"/>
        </w:rPr>
        <w:t>Pursuant to paragraph 1 of AFI 36-2603 (Title 32 Code of Federal Regulations, Pa</w:t>
      </w:r>
      <w:r w:rsidR="008B0D4C">
        <w:rPr>
          <w:rFonts w:eastAsia="Calibri" w:cs="Courier New"/>
        </w:rPr>
        <w:t xml:space="preserve">rt 865.1), it is certified </w:t>
      </w:r>
      <w:r w:rsidRPr="00662C5B">
        <w:rPr>
          <w:rFonts w:eastAsia="Calibri" w:cs="Courier New"/>
        </w:rPr>
        <w:t>a quorum was present at the Board's rev</w:t>
      </w:r>
      <w:r w:rsidR="008B0D4C">
        <w:rPr>
          <w:rFonts w:eastAsia="Calibri" w:cs="Courier New"/>
        </w:rPr>
        <w:t xml:space="preserve">iew and deliberations, and </w:t>
      </w:r>
      <w:r w:rsidRPr="00662C5B">
        <w:rPr>
          <w:rFonts w:eastAsia="Calibri" w:cs="Courier New"/>
        </w:rPr>
        <w:t>the foregoing is a true and complete record of the Board's proceedings in the above entitled matter.</w:t>
      </w:r>
      <w:r w:rsidR="008B0D4C">
        <w:rPr>
          <w:rFonts w:eastAsia="Calibri" w:cs="Courier New"/>
        </w:rPr>
        <w:t xml:space="preserve"> </w:t>
      </w:r>
    </w:p>
    <w:p w14:paraId="6584EBFE" w14:textId="307A238F" w:rsidR="00F54DB7" w:rsidRPr="00546E95" w:rsidRDefault="00F54DB7" w:rsidP="004837A6">
      <w:pPr>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635EA" w14:textId="77777777" w:rsidR="00D22A0C" w:rsidRDefault="00D22A0C" w:rsidP="00562002">
      <w:pPr>
        <w:spacing w:line="240" w:lineRule="auto"/>
      </w:pPr>
      <w:r>
        <w:separator/>
      </w:r>
    </w:p>
  </w:endnote>
  <w:endnote w:type="continuationSeparator" w:id="0">
    <w:p w14:paraId="20C557E8" w14:textId="77777777" w:rsidR="00D22A0C" w:rsidRDefault="00D22A0C"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3622" w14:textId="77777777" w:rsidR="0088662A" w:rsidRDefault="00886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EC0C" w14:textId="4EB5CB7E" w:rsidR="00C56DD8" w:rsidRPr="00C96D20" w:rsidRDefault="00C56DD8" w:rsidP="00C96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13D2" w14:textId="77777777" w:rsidR="0088662A" w:rsidRDefault="00886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1A22E" w14:textId="77777777" w:rsidR="00D22A0C" w:rsidRDefault="00D22A0C" w:rsidP="00562002">
      <w:pPr>
        <w:spacing w:line="240" w:lineRule="auto"/>
      </w:pPr>
      <w:r>
        <w:separator/>
      </w:r>
    </w:p>
  </w:footnote>
  <w:footnote w:type="continuationSeparator" w:id="0">
    <w:p w14:paraId="2297C776" w14:textId="77777777" w:rsidR="00D22A0C" w:rsidRDefault="00D22A0C" w:rsidP="005620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AE6E2" w14:textId="77777777" w:rsidR="0088662A" w:rsidRDefault="00886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EC09" w14:textId="0C3D38D5"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511F" w14:textId="77777777" w:rsidR="0088662A" w:rsidRDefault="00886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001F4"/>
    <w:rsid w:val="0001140C"/>
    <w:rsid w:val="00023BF7"/>
    <w:rsid w:val="00025693"/>
    <w:rsid w:val="000423CB"/>
    <w:rsid w:val="00043559"/>
    <w:rsid w:val="00043F4A"/>
    <w:rsid w:val="00064C10"/>
    <w:rsid w:val="00090567"/>
    <w:rsid w:val="000B2396"/>
    <w:rsid w:val="000D5C0C"/>
    <w:rsid w:val="00101549"/>
    <w:rsid w:val="00101888"/>
    <w:rsid w:val="0011108A"/>
    <w:rsid w:val="00166688"/>
    <w:rsid w:val="001812CA"/>
    <w:rsid w:val="001924D6"/>
    <w:rsid w:val="001F6F87"/>
    <w:rsid w:val="00212038"/>
    <w:rsid w:val="00212093"/>
    <w:rsid w:val="00213405"/>
    <w:rsid w:val="0023627E"/>
    <w:rsid w:val="0024368F"/>
    <w:rsid w:val="00262D29"/>
    <w:rsid w:val="00277F45"/>
    <w:rsid w:val="00281A4B"/>
    <w:rsid w:val="002853CA"/>
    <w:rsid w:val="0029190F"/>
    <w:rsid w:val="002954DB"/>
    <w:rsid w:val="002D3D5E"/>
    <w:rsid w:val="002E3B01"/>
    <w:rsid w:val="002E444C"/>
    <w:rsid w:val="00302C41"/>
    <w:rsid w:val="003461F6"/>
    <w:rsid w:val="00387D0D"/>
    <w:rsid w:val="003A1C78"/>
    <w:rsid w:val="003C542A"/>
    <w:rsid w:val="0040608D"/>
    <w:rsid w:val="004065E8"/>
    <w:rsid w:val="004247FD"/>
    <w:rsid w:val="0044749C"/>
    <w:rsid w:val="00470402"/>
    <w:rsid w:val="004837A6"/>
    <w:rsid w:val="004906A6"/>
    <w:rsid w:val="004A2A32"/>
    <w:rsid w:val="004B16E3"/>
    <w:rsid w:val="004C6A0F"/>
    <w:rsid w:val="004C6E55"/>
    <w:rsid w:val="005170CA"/>
    <w:rsid w:val="00520249"/>
    <w:rsid w:val="00533CED"/>
    <w:rsid w:val="00537182"/>
    <w:rsid w:val="00546E95"/>
    <w:rsid w:val="005576D7"/>
    <w:rsid w:val="00562002"/>
    <w:rsid w:val="005D2694"/>
    <w:rsid w:val="00600AE0"/>
    <w:rsid w:val="006257DC"/>
    <w:rsid w:val="0064337C"/>
    <w:rsid w:val="0065075E"/>
    <w:rsid w:val="00657BA5"/>
    <w:rsid w:val="00672E55"/>
    <w:rsid w:val="006872AA"/>
    <w:rsid w:val="0069725B"/>
    <w:rsid w:val="00697E39"/>
    <w:rsid w:val="006C7468"/>
    <w:rsid w:val="006D3EA0"/>
    <w:rsid w:val="006D7EEF"/>
    <w:rsid w:val="006E4983"/>
    <w:rsid w:val="006F77C8"/>
    <w:rsid w:val="00703A3A"/>
    <w:rsid w:val="00704E1B"/>
    <w:rsid w:val="007257CE"/>
    <w:rsid w:val="007456C8"/>
    <w:rsid w:val="00766C82"/>
    <w:rsid w:val="007703AE"/>
    <w:rsid w:val="007A7889"/>
    <w:rsid w:val="007F1447"/>
    <w:rsid w:val="008251FB"/>
    <w:rsid w:val="00852388"/>
    <w:rsid w:val="00852A8A"/>
    <w:rsid w:val="00874295"/>
    <w:rsid w:val="00882421"/>
    <w:rsid w:val="008847E4"/>
    <w:rsid w:val="0088662A"/>
    <w:rsid w:val="008973BF"/>
    <w:rsid w:val="008B0D4C"/>
    <w:rsid w:val="008B39DA"/>
    <w:rsid w:val="008D7D7C"/>
    <w:rsid w:val="008F66C0"/>
    <w:rsid w:val="00917835"/>
    <w:rsid w:val="00950B25"/>
    <w:rsid w:val="009777C1"/>
    <w:rsid w:val="0098503E"/>
    <w:rsid w:val="00994570"/>
    <w:rsid w:val="009A1D22"/>
    <w:rsid w:val="009C5DCE"/>
    <w:rsid w:val="009D60BD"/>
    <w:rsid w:val="009F4695"/>
    <w:rsid w:val="00A0753D"/>
    <w:rsid w:val="00A531EC"/>
    <w:rsid w:val="00A6670F"/>
    <w:rsid w:val="00A7082E"/>
    <w:rsid w:val="00A82F71"/>
    <w:rsid w:val="00AC149F"/>
    <w:rsid w:val="00AD0F35"/>
    <w:rsid w:val="00AD47BD"/>
    <w:rsid w:val="00AE17A5"/>
    <w:rsid w:val="00AE4C60"/>
    <w:rsid w:val="00AF3E73"/>
    <w:rsid w:val="00B0085D"/>
    <w:rsid w:val="00B17D47"/>
    <w:rsid w:val="00B21047"/>
    <w:rsid w:val="00B70E84"/>
    <w:rsid w:val="00B72698"/>
    <w:rsid w:val="00B9309A"/>
    <w:rsid w:val="00BA6732"/>
    <w:rsid w:val="00C12234"/>
    <w:rsid w:val="00C1314D"/>
    <w:rsid w:val="00C3424C"/>
    <w:rsid w:val="00C44B60"/>
    <w:rsid w:val="00C56DD8"/>
    <w:rsid w:val="00C619E7"/>
    <w:rsid w:val="00C96CB3"/>
    <w:rsid w:val="00C96D20"/>
    <w:rsid w:val="00CB2308"/>
    <w:rsid w:val="00D056FD"/>
    <w:rsid w:val="00D13416"/>
    <w:rsid w:val="00D22A0C"/>
    <w:rsid w:val="00D23619"/>
    <w:rsid w:val="00D42D85"/>
    <w:rsid w:val="00D927CB"/>
    <w:rsid w:val="00D9757F"/>
    <w:rsid w:val="00DB7014"/>
    <w:rsid w:val="00DC3D92"/>
    <w:rsid w:val="00DD1BD8"/>
    <w:rsid w:val="00DD38F3"/>
    <w:rsid w:val="00E00BC6"/>
    <w:rsid w:val="00E26E40"/>
    <w:rsid w:val="00E70352"/>
    <w:rsid w:val="00E913D2"/>
    <w:rsid w:val="00EC3572"/>
    <w:rsid w:val="00EC4931"/>
    <w:rsid w:val="00ED1EFE"/>
    <w:rsid w:val="00F20D5A"/>
    <w:rsid w:val="00F2627D"/>
    <w:rsid w:val="00F54DB7"/>
    <w:rsid w:val="00F75008"/>
    <w:rsid w:val="00F77744"/>
    <w:rsid w:val="00F8427A"/>
    <w:rsid w:val="00FA797A"/>
    <w:rsid w:val="00FA7C6F"/>
    <w:rsid w:val="00FC29A5"/>
    <w:rsid w:val="00F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PlainText">
    <w:name w:val="Plain Text"/>
    <w:basedOn w:val="Normal"/>
    <w:link w:val="PlainTextChar"/>
    <w:uiPriority w:val="99"/>
    <w:semiHidden/>
    <w:unhideWhenUsed/>
    <w:rsid w:val="002E3B01"/>
    <w:pPr>
      <w:spacing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2E3B01"/>
    <w:rPr>
      <w:rFonts w:ascii="Calibri" w:hAnsi="Calibri"/>
      <w:sz w:val="22"/>
      <w:szCs w:val="21"/>
    </w:rPr>
  </w:style>
  <w:style w:type="paragraph" w:styleId="BodyText">
    <w:name w:val="Body Text"/>
    <w:basedOn w:val="Normal"/>
    <w:link w:val="BodyTextChar"/>
    <w:uiPriority w:val="99"/>
    <w:semiHidden/>
    <w:unhideWhenUsed/>
    <w:rsid w:val="000001F4"/>
    <w:pPr>
      <w:spacing w:after="120"/>
    </w:pPr>
  </w:style>
  <w:style w:type="character" w:customStyle="1" w:styleId="BodyTextChar">
    <w:name w:val="Body Text Char"/>
    <w:basedOn w:val="DefaultParagraphFont"/>
    <w:link w:val="BodyText"/>
    <w:uiPriority w:val="99"/>
    <w:semiHidden/>
    <w:rsid w:val="000001F4"/>
    <w:rPr>
      <w:rFonts w:ascii="Courier New" w:hAnsi="Courier New"/>
    </w:rPr>
  </w:style>
  <w:style w:type="paragraph" w:styleId="NoSpacing">
    <w:name w:val="No Spacing"/>
    <w:uiPriority w:val="1"/>
    <w:qFormat/>
    <w:rsid w:val="000001F4"/>
    <w:pPr>
      <w:spacing w:line="240" w:lineRule="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2018-03-21T17:52:00Z</dcterms:created>
  <dcterms:modified xsi:type="dcterms:W3CDTF">2018-03-21T17:52:00Z</dcterms:modified>
</cp:coreProperties>
</file>