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F059" w14:textId="77777777" w:rsidR="00AE44DB" w:rsidRPr="00791FE4" w:rsidRDefault="00C35E0D" w:rsidP="00854941">
      <w:pPr>
        <w:jc w:val="center"/>
        <w:rPr>
          <w:sz w:val="24"/>
        </w:rPr>
      </w:pPr>
      <w:r w:rsidRPr="00791FE4">
        <w:rPr>
          <w:noProof/>
          <w:sz w:val="24"/>
        </w:rPr>
        <mc:AlternateContent>
          <mc:Choice Requires="wps">
            <w:drawing>
              <wp:inline distT="0" distB="0" distL="0" distR="0" wp14:anchorId="607CF4E6" wp14:editId="34CC1251">
                <wp:extent cx="5943600" cy="0"/>
                <wp:effectExtent l="0" t="19050" r="19050" b="19050"/>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a:ln w="31750" cmpd="dbl"/>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235066"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dreczwEAAN0DAAAOAAAAZHJzL2Uyb0RvYy54bWysU02P0zAQvSPxHyzft0m37AJR0z10BRcE FQvcXWfcWOsvjU2T/nvGTptd8SEhxMWK7Xlv3nuerO9Ga9gRMGrvWr5c1JyBk77T7tDyr1/eXb3h LCbhOmG8g5afIPK7zcsX6yE0cO17bzpARiQuNkNoeZ9SaKoqyh6siAsfwNGl8mhFoi0eqg7FQOzW VNd1fVsNHruAXkKMdHo/XfJN4VcKZPqkVITETMtJWyorlnWf12qzFs0BRei1PMsQ/6DCCu2o6Ux1 L5Jg31H/QmW1RB+9SgvpbeWV0hKKB3KzrH9y89CLAMULhRPDHFP8f7Ty43GHTHctX3HmhKUnekgo 9KFPbOudowA9slXOaQixofKt2+F5F8MOs+lRoWXK6PCNRqDEQMbYWFI+zSnDmJikw5u3r1a3NT2G vNxVE0WmChjTe/CW5Y+WG+1yAKIRxw8xUVsqvZTkY+PYQNKXr28ynw3ko9ubrLbKcieB5SudDEyI z6DIMAmZpJZRg61BdhQ0JN3jssAzN1VmiNLGzKC6yPkj6FybYVDG72+Bc3Xp6F2agVY7j7/rmsaL VDXVX1xPXrPtve9O5blKHDRDJcHzvOchfb4v8Ke/cvMDAAD//wMAUEsDBBQABgAIAAAAIQDs5TQ6 1gAAAAIBAAAPAAAAZHJzL2Rvd25yZXYueG1sTI/BTsMwDIbvSLxDZCRuW7oiVaM0nSYkdkBcGINz 1pimrHGqJO3K2+NxgYulT7/1+3O1mV0vJgyx86RgtcxAIDXedNQqOLw9LdYgYtJkdO8JFXxjhE19 fVXp0vgzveK0T63gEoqlVmBTGkopY2PR6bj0AxJnnz44nRhDK03QZy53vcyzrJBOd8QXrB7w0WJz 2o9OwTuOuHp5zuOHnXbt1y4Phe+CUrc38/YBRMI5/S3DRZ/VoWanox/JRNEr4EfS7+Ts/q5gPF5Q 1pX8r17/AAAA//8DAFBLAQItABQABgAIAAAAIQC2gziS/gAAAOEBAAATAAAAAAAAAAAAAAAAAAAA AABbQ29udGVudF9UeXBlc10ueG1sUEsBAi0AFAAGAAgAAAAhADj9If/WAAAAlAEAAAsAAAAAAAAA AAAAAAAALwEAAF9yZWxzLy5yZWxzUEsBAi0AFAAGAAgAAAAhACl2t5zPAQAA3QMAAA4AAAAAAAAA AAAAAAAALgIAAGRycy9lMm9Eb2MueG1sUEsBAi0AFAAGAAgAAAAhAOzlNDrWAAAAAgEAAA8AAAAA AAAAAAAAAAAAKQQAAGRycy9kb3ducmV2LnhtbFBLBQYAAAAABAAEAPMAAAAsBQAAAAA= " strokecolor="black [3200]" strokeweight="2.5pt">
                <v:stroke linestyle="thinThin" joinstyle="miter"/>
                <w10:anchorlock/>
              </v:line>
            </w:pict>
          </mc:Fallback>
        </mc:AlternateContent>
      </w:r>
    </w:p>
    <w:p w14:paraId="3D794C8A" w14:textId="77777777" w:rsidR="00655818" w:rsidRPr="00791FE4" w:rsidRDefault="00655818" w:rsidP="00854941">
      <w:pPr>
        <w:jc w:val="center"/>
        <w:rPr>
          <w:b/>
          <w:sz w:val="24"/>
        </w:rPr>
      </w:pPr>
      <w:r w:rsidRPr="00791FE4">
        <w:rPr>
          <w:b/>
          <w:sz w:val="24"/>
        </w:rPr>
        <w:t>RECORD OF PROCEEDINGS</w:t>
      </w:r>
    </w:p>
    <w:p w14:paraId="34C9EF75" w14:textId="77777777" w:rsidR="007A2180" w:rsidRPr="00791FE4" w:rsidRDefault="007A2180" w:rsidP="00854941">
      <w:pPr>
        <w:jc w:val="left"/>
        <w:rPr>
          <w:sz w:val="24"/>
        </w:rPr>
      </w:pPr>
    </w:p>
    <w:p w14:paraId="427DE3D1" w14:textId="1C0F166C" w:rsidR="005B2D84" w:rsidRPr="003A2BEE" w:rsidRDefault="005B2D84" w:rsidP="00854941">
      <w:pPr>
        <w:tabs>
          <w:tab w:val="clear" w:pos="720"/>
          <w:tab w:val="left" w:pos="5040"/>
        </w:tabs>
        <w:rPr>
          <w:sz w:val="24"/>
        </w:rPr>
      </w:pPr>
      <w:r w:rsidRPr="003A2BEE">
        <w:rPr>
          <w:b/>
          <w:sz w:val="24"/>
        </w:rPr>
        <w:t>IN THE MATTER OF:</w:t>
      </w:r>
      <w:r w:rsidRPr="003A2BEE">
        <w:rPr>
          <w:sz w:val="24"/>
        </w:rPr>
        <w:tab/>
      </w:r>
      <w:r w:rsidRPr="003A2BEE">
        <w:rPr>
          <w:b/>
          <w:sz w:val="24"/>
        </w:rPr>
        <w:t>DOCKET NUMBER:</w:t>
      </w:r>
      <w:r w:rsidRPr="003A2BEE">
        <w:rPr>
          <w:sz w:val="24"/>
        </w:rPr>
        <w:t xml:space="preserve"> </w:t>
      </w:r>
      <w:r w:rsidR="0088677E" w:rsidRPr="003A2BEE">
        <w:rPr>
          <w:sz w:val="24"/>
        </w:rPr>
        <w:t>BC-2017-</w:t>
      </w:r>
      <w:r w:rsidR="002C455A">
        <w:rPr>
          <w:sz w:val="24"/>
        </w:rPr>
        <w:t>02286</w:t>
      </w:r>
    </w:p>
    <w:p w14:paraId="7299B186" w14:textId="77777777" w:rsidR="005B2D84" w:rsidRPr="003A2BEE" w:rsidRDefault="005B2D84" w:rsidP="00854941">
      <w:pPr>
        <w:tabs>
          <w:tab w:val="left" w:pos="5040"/>
        </w:tabs>
        <w:rPr>
          <w:sz w:val="24"/>
        </w:rPr>
      </w:pPr>
    </w:p>
    <w:p w14:paraId="0D3C5167" w14:textId="44378926" w:rsidR="005B2D84" w:rsidRPr="003A2BEE" w:rsidRDefault="00BE1567" w:rsidP="00854941">
      <w:pPr>
        <w:tabs>
          <w:tab w:val="clear" w:pos="720"/>
          <w:tab w:val="left" w:pos="5040"/>
        </w:tabs>
        <w:rPr>
          <w:sz w:val="24"/>
        </w:rPr>
      </w:pPr>
      <w:r>
        <w:rPr>
          <w:sz w:val="24"/>
          <w:szCs w:val="20"/>
        </w:rPr>
        <w:t xml:space="preserve"> </w:t>
      </w:r>
      <w:r w:rsidR="005B2D84" w:rsidRPr="003A2BEE">
        <w:rPr>
          <w:sz w:val="24"/>
        </w:rPr>
        <w:tab/>
      </w:r>
      <w:r w:rsidR="005B2D84" w:rsidRPr="003A2BEE">
        <w:rPr>
          <w:rFonts w:cs="Arial"/>
          <w:b/>
          <w:sz w:val="24"/>
        </w:rPr>
        <w:t>COUNSEL:</w:t>
      </w:r>
      <w:r w:rsidR="005B2D84" w:rsidRPr="003A2BEE">
        <w:rPr>
          <w:sz w:val="24"/>
        </w:rPr>
        <w:t xml:space="preserve"> NONE</w:t>
      </w:r>
    </w:p>
    <w:p w14:paraId="5E0B894C" w14:textId="0A2C2FDA" w:rsidR="005B2D84" w:rsidRPr="003A2BEE" w:rsidRDefault="005B2D84" w:rsidP="00854941">
      <w:pPr>
        <w:tabs>
          <w:tab w:val="center" w:pos="1890"/>
          <w:tab w:val="left" w:pos="5040"/>
        </w:tabs>
        <w:rPr>
          <w:sz w:val="24"/>
        </w:rPr>
      </w:pPr>
      <w:r w:rsidRPr="003A2BEE">
        <w:rPr>
          <w:sz w:val="24"/>
        </w:rPr>
        <w:tab/>
      </w:r>
    </w:p>
    <w:p w14:paraId="22CB324C" w14:textId="5C346F46" w:rsidR="005B2D84" w:rsidRPr="003A2BEE" w:rsidRDefault="005B2D84" w:rsidP="00854941">
      <w:pPr>
        <w:tabs>
          <w:tab w:val="clear" w:pos="720"/>
          <w:tab w:val="left" w:pos="5040"/>
        </w:tabs>
        <w:rPr>
          <w:sz w:val="24"/>
        </w:rPr>
      </w:pPr>
      <w:r w:rsidRPr="003A2BEE">
        <w:rPr>
          <w:sz w:val="24"/>
        </w:rPr>
        <w:tab/>
      </w:r>
      <w:r w:rsidRPr="003A2BEE">
        <w:rPr>
          <w:rFonts w:cs="Arial"/>
          <w:b/>
          <w:sz w:val="24"/>
        </w:rPr>
        <w:t>HEARING:</w:t>
      </w:r>
      <w:r w:rsidRPr="003A2BEE">
        <w:rPr>
          <w:sz w:val="24"/>
        </w:rPr>
        <w:t xml:space="preserve"> YES</w:t>
      </w:r>
    </w:p>
    <w:p w14:paraId="6855614D" w14:textId="629DA94B" w:rsidR="005B2D84" w:rsidRPr="003A2BEE" w:rsidRDefault="005B2D84" w:rsidP="00854941">
      <w:pPr>
        <w:tabs>
          <w:tab w:val="left" w:pos="5040"/>
        </w:tabs>
        <w:rPr>
          <w:sz w:val="24"/>
        </w:rPr>
      </w:pPr>
      <w:r w:rsidRPr="003A2BEE">
        <w:rPr>
          <w:sz w:val="24"/>
        </w:rPr>
        <w:tab/>
      </w:r>
    </w:p>
    <w:p w14:paraId="3374D2BC" w14:textId="77777777" w:rsidR="00C1203A" w:rsidRPr="003A2BEE" w:rsidRDefault="00FF33A0" w:rsidP="00854941">
      <w:pPr>
        <w:jc w:val="center"/>
        <w:rPr>
          <w:sz w:val="24"/>
        </w:rPr>
      </w:pPr>
      <w:r w:rsidRPr="003A2BEE">
        <w:rPr>
          <w:noProof/>
          <w:sz w:val="24"/>
        </w:rPr>
        <mc:AlternateContent>
          <mc:Choice Requires="wps">
            <w:drawing>
              <wp:inline distT="0" distB="0" distL="0" distR="0" wp14:anchorId="13E78372" wp14:editId="33AA73F9">
                <wp:extent cx="5943600" cy="18288"/>
                <wp:effectExtent l="19050" t="19050" r="19050" b="20320"/>
                <wp:docPr id="2" name="Straight Connector 2"/>
                <wp:cNvGraphicFramePr/>
                <a:graphic xmlns:a="http://schemas.openxmlformats.org/drawingml/2006/main">
                  <a:graphicData uri="http://schemas.microsoft.com/office/word/2010/wordprocessingShape">
                    <wps:wsp>
                      <wps:cNvCnPr/>
                      <wps:spPr>
                        <a:xfrm flipV="1">
                          <a:off x="0" y="0"/>
                          <a:ext cx="5943600" cy="18288"/>
                        </a:xfrm>
                        <a:prstGeom prst="line">
                          <a:avLst/>
                        </a:prstGeom>
                        <a:ln w="31750" cmpd="dbl"/>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12428F"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68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Dbnf0wEAAOEDAAAOAAAAZHJzL2Uyb0RvYy54bWysU8tu1DAU3SPxD5b3nTxKyzSaTBdTwQbB iNLuPY49seqXrs0k8/dcO2mooEgIsbH8uOf4nOPrze1oNDkJCMrZllarkhJhueuUPbb04duHizUl ITLbMe2saOlZBHq7fftmM/hG1K53uhNAkMSGZvAt7WP0TVEE3gvDwsp5YfFQOjAs4hKORQdsQHaj i7osr4vBQefBcREC7t5Nh3Sb+aUUPH6RMohIdEtRW8wj5PGQxmK7Yc0RmO8Vn2Wwf1BhmLJ46UJ1 xyIj30H9RmUUBxecjCvuTOGkVFxkD+imKn9xc98zL7IXDCf4Jabw/2j559MeiOpaWlNimcEnuo/A 1LGPZOesxQAdkDrlNPjQYPnO7mFeBb+HZHqUYIjUyj9iC+QY0BgZc8rnJWUxRsJx8+rm3eV1iY/B 8axa1+t1Yi8mmkTnIcSPwhmSJi3VyqYQWMNOn0KcSp9L0ra2ZGjpZfX+KnEaj166g86cSfIkMs/i WYsJ8VVINI1iJrm53cROAzkxbJTuqZolaYuVCSKV1guozHL+CJprE0zkFvxb4FKdb3Q2LkCjrIPX bo3js1Q51WOSL7ym6cF15/xk+QD7KIc993xq1JfrDP/5M7c/AAAA//8DAFBLAwQUAAYACAAAACEA ZYNUpdgAAAADAQAADwAAAGRycy9kb3ducmV2LnhtbEyPwU7DMBBE70j9B2srcaNOgxTREKeqKtED 4kIpnN14iQPxOrKdNPw9Cxe4jDSa1czbaju7XkwYYudJwXqVgUBqvOmoVXB6ebi5AxGTJqN7T6jg CyNs68VVpUvjL/SM0zG1gksollqBTWkopYyNRafjyg9InL374HRiG1ppgr5wuetlnmWFdLojXrB6 wL3F5vM4OgWvOOL66TGPb3Y6tB+HPBS+C0pdL+fdPYiEc/o7hh98Roeamc5+JBNFr4AfSb/K2ea2 YHtWkG9A1pX8z15/AwAA//8DAFBLAQItABQABgAIAAAAIQC2gziS/gAAAOEBAAATAAAAAAAAAAAA AAAAAAAAAABbQ29udGVudF9UeXBlc10ueG1sUEsBAi0AFAAGAAgAAAAhADj9If/WAAAAlAEAAAsA AAAAAAAAAAAAAAAALwEAAF9yZWxzLy5yZWxzUEsBAi0AFAAGAAgAAAAhABUNud/TAQAA4QMAAA4A AAAAAAAAAAAAAAAALgIAAGRycy9lMm9Eb2MueG1sUEsBAi0AFAAGAAgAAAAhAGWDVKXYAAAAAwEA AA8AAAAAAAAAAAAAAAAALQQAAGRycy9kb3ducmV2LnhtbFBLBQYAAAAABAAEAPMAAAAyBQAAAAA= " strokecolor="black [3200]" strokeweight="2.5pt">
                <v:stroke linestyle="thinThin" joinstyle="miter"/>
                <w10:anchorlock/>
              </v:line>
            </w:pict>
          </mc:Fallback>
        </mc:AlternateContent>
      </w:r>
    </w:p>
    <w:p w14:paraId="703E038B" w14:textId="77777777" w:rsidR="007C3B41" w:rsidRPr="003A2BEE" w:rsidRDefault="007C3B41" w:rsidP="00854941">
      <w:pPr>
        <w:rPr>
          <w:b/>
          <w:sz w:val="24"/>
        </w:rPr>
      </w:pPr>
    </w:p>
    <w:p w14:paraId="7DED586F" w14:textId="44BE368E" w:rsidR="003D3776" w:rsidRPr="003A2BEE" w:rsidRDefault="00E5314D" w:rsidP="00854941">
      <w:pPr>
        <w:keepNext/>
        <w:rPr>
          <w:b/>
          <w:sz w:val="24"/>
        </w:rPr>
      </w:pPr>
      <w:r w:rsidRPr="003A2BEE">
        <w:rPr>
          <w:b/>
          <w:sz w:val="24"/>
        </w:rPr>
        <w:t>APPLICANT</w:t>
      </w:r>
      <w:r w:rsidR="00FF33A0" w:rsidRPr="003A2BEE">
        <w:rPr>
          <w:b/>
          <w:sz w:val="24"/>
        </w:rPr>
        <w:t xml:space="preserve"> REQUEST</w:t>
      </w:r>
      <w:r w:rsidR="003D3776" w:rsidRPr="003A2BEE">
        <w:rPr>
          <w:b/>
          <w:sz w:val="24"/>
        </w:rPr>
        <w:t>S THAT:</w:t>
      </w:r>
    </w:p>
    <w:p w14:paraId="4A694D10" w14:textId="77777777" w:rsidR="003D3776" w:rsidRPr="003A2BEE" w:rsidRDefault="003D3776" w:rsidP="00854941">
      <w:pPr>
        <w:keepNext/>
        <w:rPr>
          <w:sz w:val="24"/>
        </w:rPr>
      </w:pPr>
    </w:p>
    <w:p w14:paraId="7F6CD659" w14:textId="513D31F3" w:rsidR="00FF33A0" w:rsidRDefault="00854941" w:rsidP="00854941">
      <w:pPr>
        <w:pStyle w:val="ListParagraph"/>
        <w:keepNext/>
        <w:numPr>
          <w:ilvl w:val="0"/>
          <w:numId w:val="1"/>
        </w:numPr>
        <w:rPr>
          <w:rFonts w:ascii="Times New Roman" w:hAnsi="Times New Roman" w:cs="Times New Roman"/>
          <w:sz w:val="24"/>
        </w:rPr>
      </w:pPr>
      <w:proofErr w:type="gramStart"/>
      <w:r w:rsidRPr="00854941">
        <w:rPr>
          <w:rFonts w:ascii="Times New Roman" w:hAnsi="Times New Roman" w:cs="Times New Roman"/>
          <w:sz w:val="24"/>
        </w:rPr>
        <w:t>He be given</w:t>
      </w:r>
      <w:proofErr w:type="gramEnd"/>
      <w:r w:rsidRPr="00854941">
        <w:rPr>
          <w:rFonts w:ascii="Times New Roman" w:hAnsi="Times New Roman" w:cs="Times New Roman"/>
          <w:sz w:val="24"/>
        </w:rPr>
        <w:t xml:space="preserve"> Special Selection Board (SSB) consideration</w:t>
      </w:r>
      <w:r>
        <w:rPr>
          <w:rFonts w:ascii="Times New Roman" w:hAnsi="Times New Roman" w:cs="Times New Roman"/>
          <w:sz w:val="24"/>
        </w:rPr>
        <w:t xml:space="preserve"> for promotion to the grade of major</w:t>
      </w:r>
      <w:r w:rsidRPr="00854941">
        <w:rPr>
          <w:rFonts w:ascii="Times New Roman" w:hAnsi="Times New Roman" w:cs="Times New Roman"/>
          <w:sz w:val="24"/>
        </w:rPr>
        <w:t>.</w:t>
      </w:r>
    </w:p>
    <w:p w14:paraId="33164946" w14:textId="7905C44A" w:rsidR="00854941" w:rsidRDefault="00854941" w:rsidP="00854941">
      <w:pPr>
        <w:pStyle w:val="ListParagraph"/>
        <w:keepNext/>
        <w:numPr>
          <w:ilvl w:val="0"/>
          <w:numId w:val="1"/>
        </w:numPr>
        <w:rPr>
          <w:rFonts w:ascii="Times New Roman" w:hAnsi="Times New Roman" w:cs="Times New Roman"/>
          <w:sz w:val="24"/>
        </w:rPr>
      </w:pPr>
      <w:proofErr w:type="gramStart"/>
      <w:r>
        <w:rPr>
          <w:rFonts w:ascii="Times New Roman" w:hAnsi="Times New Roman" w:cs="Times New Roman"/>
          <w:sz w:val="24"/>
        </w:rPr>
        <w:t>He be reinstated</w:t>
      </w:r>
      <w:proofErr w:type="gramEnd"/>
      <w:r>
        <w:rPr>
          <w:rFonts w:ascii="Times New Roman" w:hAnsi="Times New Roman" w:cs="Times New Roman"/>
          <w:sz w:val="24"/>
        </w:rPr>
        <w:t xml:space="preserve"> into the Air Force Reserve (AFR).</w:t>
      </w:r>
    </w:p>
    <w:p w14:paraId="23251C9D" w14:textId="618BF4DA" w:rsidR="00854941" w:rsidRPr="00854941" w:rsidRDefault="00854941" w:rsidP="009C64EA">
      <w:pPr>
        <w:pStyle w:val="ListParagraph"/>
        <w:keepNext/>
        <w:numPr>
          <w:ilvl w:val="0"/>
          <w:numId w:val="1"/>
        </w:numPr>
        <w:rPr>
          <w:sz w:val="24"/>
        </w:rPr>
      </w:pPr>
      <w:r w:rsidRPr="00854941">
        <w:rPr>
          <w:rFonts w:ascii="Times New Roman" w:hAnsi="Times New Roman" w:cs="Times New Roman"/>
          <w:sz w:val="24"/>
        </w:rPr>
        <w:t>He receive all back pay and benefits.</w:t>
      </w:r>
    </w:p>
    <w:p w14:paraId="43B9EE87" w14:textId="77777777" w:rsidR="007A2180" w:rsidRPr="003A2BEE" w:rsidRDefault="007A2180" w:rsidP="00854941">
      <w:pPr>
        <w:rPr>
          <w:sz w:val="24"/>
        </w:rPr>
      </w:pPr>
    </w:p>
    <w:p w14:paraId="7A1407CD" w14:textId="77777777" w:rsidR="003D3776" w:rsidRPr="003A2BEE" w:rsidRDefault="007A2180" w:rsidP="00854941">
      <w:pPr>
        <w:keepNext/>
        <w:rPr>
          <w:b/>
          <w:sz w:val="24"/>
        </w:rPr>
      </w:pPr>
      <w:r w:rsidRPr="003A2BEE">
        <w:rPr>
          <w:b/>
          <w:sz w:val="24"/>
        </w:rPr>
        <w:t>APPLICANT</w:t>
      </w:r>
      <w:r w:rsidR="003D3776" w:rsidRPr="003A2BEE">
        <w:rPr>
          <w:b/>
          <w:sz w:val="24"/>
        </w:rPr>
        <w:t xml:space="preserve"> CONTENDS THAT:</w:t>
      </w:r>
    </w:p>
    <w:p w14:paraId="550BE0B2" w14:textId="77777777" w:rsidR="003D3776" w:rsidRPr="003A2BEE" w:rsidRDefault="003D3776" w:rsidP="00854941">
      <w:pPr>
        <w:keepNext/>
        <w:rPr>
          <w:sz w:val="24"/>
        </w:rPr>
      </w:pPr>
    </w:p>
    <w:p w14:paraId="36B9C8C3" w14:textId="16384162" w:rsidR="00E86D06" w:rsidRDefault="00E86D06" w:rsidP="00E86D06">
      <w:pPr>
        <w:keepNext/>
        <w:rPr>
          <w:sz w:val="24"/>
        </w:rPr>
      </w:pPr>
      <w:r>
        <w:rPr>
          <w:sz w:val="24"/>
        </w:rPr>
        <w:t>There was a material error and injustice in his case.  In a 10-page brief, he provides a chronological list of events and a detailed analysis of the facts that are relevant to his case.  He makes the following key contentions:</w:t>
      </w:r>
    </w:p>
    <w:p w14:paraId="1057B25E" w14:textId="77777777" w:rsidR="00E86D06" w:rsidRDefault="00E86D06" w:rsidP="00E86D06">
      <w:pPr>
        <w:keepNext/>
        <w:rPr>
          <w:sz w:val="24"/>
        </w:rPr>
      </w:pPr>
    </w:p>
    <w:p w14:paraId="1EF35B1F" w14:textId="273C12DB" w:rsidR="00044AEB" w:rsidRDefault="00E86D06" w:rsidP="00E86D06">
      <w:pPr>
        <w:keepNext/>
        <w:ind w:left="1170" w:right="1260"/>
        <w:rPr>
          <w:sz w:val="24"/>
        </w:rPr>
      </w:pPr>
      <w:r>
        <w:rPr>
          <w:sz w:val="24"/>
        </w:rPr>
        <w:t xml:space="preserve">His promotion package </w:t>
      </w:r>
      <w:proofErr w:type="gramStart"/>
      <w:r>
        <w:rPr>
          <w:sz w:val="24"/>
        </w:rPr>
        <w:t>was removed</w:t>
      </w:r>
      <w:proofErr w:type="gramEnd"/>
      <w:r>
        <w:rPr>
          <w:sz w:val="24"/>
        </w:rPr>
        <w:t xml:space="preserve"> from the 2014 Air National Guard (ANG) promotion board and he was not considered for promotion.  He did not receive counseling regarding the requirement to complete Squadron Officer’s School (SOS).  Post-board counseling </w:t>
      </w:r>
      <w:proofErr w:type="gramStart"/>
      <w:r>
        <w:rPr>
          <w:sz w:val="24"/>
        </w:rPr>
        <w:t>was not received</w:t>
      </w:r>
      <w:proofErr w:type="gramEnd"/>
      <w:r>
        <w:rPr>
          <w:sz w:val="24"/>
        </w:rPr>
        <w:t xml:space="preserve"> in a timely manner.  His application for in-residence SOS was lost/dropped without any explanation.  He was considered </w:t>
      </w:r>
      <w:proofErr w:type="gramStart"/>
      <w:r>
        <w:rPr>
          <w:sz w:val="24"/>
        </w:rPr>
        <w:t>to be not</w:t>
      </w:r>
      <w:proofErr w:type="gramEnd"/>
      <w:r>
        <w:rPr>
          <w:sz w:val="24"/>
        </w:rPr>
        <w:t xml:space="preserve"> eligible for supplemental promotion consideration and he was discharged for non-selection of promotion to the next higher grade.</w:t>
      </w:r>
    </w:p>
    <w:p w14:paraId="1250222F" w14:textId="77777777" w:rsidR="00E86D06" w:rsidRDefault="00E86D06" w:rsidP="00E86D06">
      <w:pPr>
        <w:keepNext/>
        <w:ind w:left="1170" w:right="1260"/>
        <w:rPr>
          <w:sz w:val="24"/>
        </w:rPr>
      </w:pPr>
    </w:p>
    <w:p w14:paraId="760CBF27" w14:textId="43D6B53A" w:rsidR="007A2180" w:rsidRPr="003A2BEE" w:rsidRDefault="007A2180" w:rsidP="00854941">
      <w:pPr>
        <w:keepNext/>
        <w:rPr>
          <w:sz w:val="24"/>
        </w:rPr>
      </w:pPr>
      <w:r w:rsidRPr="003A2BEE">
        <w:rPr>
          <w:sz w:val="24"/>
        </w:rPr>
        <w:t>The applicant’s complete submission is at Exhibit A.</w:t>
      </w:r>
    </w:p>
    <w:p w14:paraId="6D52F8A7" w14:textId="77777777" w:rsidR="00FF33A0" w:rsidRPr="003A2BEE" w:rsidRDefault="00FF33A0" w:rsidP="00854941">
      <w:pPr>
        <w:rPr>
          <w:sz w:val="24"/>
        </w:rPr>
      </w:pPr>
    </w:p>
    <w:p w14:paraId="4780E460" w14:textId="124351D8" w:rsidR="003D3776" w:rsidRPr="003A2BEE" w:rsidRDefault="007A2180" w:rsidP="00854941">
      <w:pPr>
        <w:keepNext/>
        <w:rPr>
          <w:sz w:val="24"/>
        </w:rPr>
      </w:pPr>
      <w:r w:rsidRPr="003A2BEE">
        <w:rPr>
          <w:b/>
          <w:sz w:val="24"/>
        </w:rPr>
        <w:t>STATEMENT OF FACTS</w:t>
      </w:r>
      <w:r w:rsidR="003D3776" w:rsidRPr="003A2BEE">
        <w:rPr>
          <w:b/>
          <w:sz w:val="24"/>
        </w:rPr>
        <w:t>:</w:t>
      </w:r>
    </w:p>
    <w:p w14:paraId="69F471B3" w14:textId="77777777" w:rsidR="003D3776" w:rsidRPr="003A2BEE" w:rsidRDefault="003D3776" w:rsidP="00854941">
      <w:pPr>
        <w:keepNext/>
        <w:rPr>
          <w:sz w:val="24"/>
        </w:rPr>
      </w:pPr>
    </w:p>
    <w:p w14:paraId="459BF34C" w14:textId="26B14668" w:rsidR="007A2180" w:rsidRPr="003A2BEE" w:rsidRDefault="007A2180" w:rsidP="00854941">
      <w:pPr>
        <w:keepNext/>
        <w:rPr>
          <w:sz w:val="24"/>
        </w:rPr>
      </w:pPr>
      <w:r w:rsidRPr="003A2BEE">
        <w:rPr>
          <w:sz w:val="24"/>
        </w:rPr>
        <w:t xml:space="preserve">The </w:t>
      </w:r>
      <w:r w:rsidR="003A2BEE">
        <w:rPr>
          <w:sz w:val="24"/>
        </w:rPr>
        <w:t xml:space="preserve">applicant </w:t>
      </w:r>
      <w:proofErr w:type="gramStart"/>
      <w:r w:rsidR="003A2BEE">
        <w:rPr>
          <w:sz w:val="24"/>
        </w:rPr>
        <w:t>was separated</w:t>
      </w:r>
      <w:proofErr w:type="gramEnd"/>
      <w:r w:rsidR="003A2BEE">
        <w:rPr>
          <w:sz w:val="24"/>
        </w:rPr>
        <w:t xml:space="preserve"> from the ANG in March 2014 and was transferred to the AFR.  He received an honorable discharge from the AFR in the grade of captain.</w:t>
      </w:r>
      <w:r w:rsidRPr="003A2BEE">
        <w:rPr>
          <w:sz w:val="24"/>
        </w:rPr>
        <w:t xml:space="preserve">  For more information, see the excerpt of the applicant’s record at Exhibit B and the advisory at Exhibit C.</w:t>
      </w:r>
    </w:p>
    <w:p w14:paraId="3C3341EE" w14:textId="77777777" w:rsidR="00FF33A0" w:rsidRPr="003A2BEE" w:rsidRDefault="00FF33A0" w:rsidP="00854941">
      <w:pPr>
        <w:rPr>
          <w:sz w:val="24"/>
        </w:rPr>
      </w:pPr>
    </w:p>
    <w:p w14:paraId="0F085D79" w14:textId="4B1CAB58" w:rsidR="00CA2086" w:rsidRPr="003A2BEE" w:rsidRDefault="007A2180" w:rsidP="00854941">
      <w:pPr>
        <w:keepNext/>
        <w:rPr>
          <w:sz w:val="24"/>
        </w:rPr>
      </w:pPr>
      <w:r w:rsidRPr="003A2BEE">
        <w:rPr>
          <w:b/>
          <w:sz w:val="24"/>
        </w:rPr>
        <w:t>AIR FORCE EVALUATION</w:t>
      </w:r>
      <w:r w:rsidR="00CA2086" w:rsidRPr="003A2BEE">
        <w:rPr>
          <w:b/>
          <w:sz w:val="24"/>
        </w:rPr>
        <w:t>:</w:t>
      </w:r>
    </w:p>
    <w:p w14:paraId="65400478" w14:textId="77777777" w:rsidR="00CA2086" w:rsidRPr="003A2BEE" w:rsidRDefault="00CA2086" w:rsidP="00854941">
      <w:pPr>
        <w:keepNext/>
        <w:rPr>
          <w:sz w:val="24"/>
        </w:rPr>
      </w:pPr>
    </w:p>
    <w:p w14:paraId="2FE34D0A" w14:textId="75404AB0" w:rsidR="00854941" w:rsidRPr="005313BD" w:rsidRDefault="003A2BEE" w:rsidP="00854941">
      <w:pPr>
        <w:rPr>
          <w:sz w:val="24"/>
        </w:rPr>
      </w:pPr>
      <w:r>
        <w:rPr>
          <w:sz w:val="24"/>
        </w:rPr>
        <w:t>ARPC/PB</w:t>
      </w:r>
      <w:r w:rsidR="007A2180" w:rsidRPr="003A2BEE">
        <w:rPr>
          <w:sz w:val="24"/>
        </w:rPr>
        <w:t xml:space="preserve"> recommends denying the application.  </w:t>
      </w:r>
      <w:r w:rsidR="00854941">
        <w:rPr>
          <w:color w:val="181818"/>
          <w:w w:val="105"/>
          <w:sz w:val="24"/>
        </w:rPr>
        <w:t>He</w:t>
      </w:r>
      <w:r w:rsidR="00854941" w:rsidRPr="005313BD">
        <w:rPr>
          <w:color w:val="181818"/>
          <w:w w:val="105"/>
          <w:sz w:val="24"/>
        </w:rPr>
        <w:t xml:space="preserve"> has </w:t>
      </w:r>
      <w:r w:rsidR="00854941">
        <w:rPr>
          <w:color w:val="181818"/>
          <w:w w:val="105"/>
          <w:sz w:val="24"/>
        </w:rPr>
        <w:t xml:space="preserve">not provided any </w:t>
      </w:r>
      <w:r w:rsidR="00854941" w:rsidRPr="005313BD">
        <w:rPr>
          <w:color w:val="181818"/>
          <w:w w:val="105"/>
          <w:sz w:val="24"/>
        </w:rPr>
        <w:t xml:space="preserve">documentation </w:t>
      </w:r>
      <w:r w:rsidR="00854941">
        <w:rPr>
          <w:color w:val="181818"/>
          <w:w w:val="105"/>
          <w:sz w:val="24"/>
        </w:rPr>
        <w:t>that</w:t>
      </w:r>
      <w:r w:rsidR="00854941" w:rsidRPr="005313BD">
        <w:rPr>
          <w:color w:val="181818"/>
          <w:w w:val="105"/>
          <w:sz w:val="24"/>
        </w:rPr>
        <w:t xml:space="preserve"> show</w:t>
      </w:r>
      <w:r w:rsidR="00854941">
        <w:rPr>
          <w:color w:val="181818"/>
          <w:w w:val="105"/>
          <w:sz w:val="24"/>
        </w:rPr>
        <w:t>s</w:t>
      </w:r>
      <w:r w:rsidR="00854941" w:rsidRPr="005313BD">
        <w:rPr>
          <w:color w:val="181818"/>
          <w:w w:val="105"/>
          <w:sz w:val="24"/>
        </w:rPr>
        <w:t xml:space="preserve"> </w:t>
      </w:r>
      <w:r w:rsidR="00854941">
        <w:rPr>
          <w:color w:val="181818"/>
          <w:w w:val="105"/>
          <w:sz w:val="24"/>
        </w:rPr>
        <w:t xml:space="preserve">the Calendar Year 2015 (CY15) </w:t>
      </w:r>
      <w:r w:rsidR="00854941" w:rsidRPr="005313BD">
        <w:rPr>
          <w:color w:val="181818"/>
          <w:w w:val="105"/>
          <w:sz w:val="24"/>
        </w:rPr>
        <w:t>AFR Line and Non</w:t>
      </w:r>
      <w:r w:rsidR="00854941">
        <w:rPr>
          <w:color w:val="181818"/>
          <w:w w:val="105"/>
          <w:sz w:val="24"/>
        </w:rPr>
        <w:t>-L</w:t>
      </w:r>
      <w:r w:rsidR="00854941" w:rsidRPr="005313BD">
        <w:rPr>
          <w:color w:val="181818"/>
          <w:w w:val="105"/>
          <w:sz w:val="24"/>
        </w:rPr>
        <w:t>ine Major Promotion Selection Board and the CY16 AFR Line and Non</w:t>
      </w:r>
      <w:r w:rsidR="00854941">
        <w:rPr>
          <w:color w:val="181818"/>
          <w:w w:val="105"/>
          <w:sz w:val="24"/>
        </w:rPr>
        <w:t>-Li</w:t>
      </w:r>
      <w:r w:rsidR="00854941" w:rsidRPr="005313BD">
        <w:rPr>
          <w:color w:val="181818"/>
          <w:w w:val="105"/>
          <w:sz w:val="24"/>
        </w:rPr>
        <w:t xml:space="preserve">ne Major Promotion Selection Board </w:t>
      </w:r>
      <w:proofErr w:type="gramStart"/>
      <w:r w:rsidR="00854941" w:rsidRPr="005313BD">
        <w:rPr>
          <w:color w:val="181818"/>
          <w:w w:val="105"/>
          <w:sz w:val="24"/>
        </w:rPr>
        <w:t>were no</w:t>
      </w:r>
      <w:r w:rsidR="00854941">
        <w:rPr>
          <w:color w:val="181818"/>
          <w:w w:val="105"/>
          <w:sz w:val="24"/>
        </w:rPr>
        <w:t>t conducted</w:t>
      </w:r>
      <w:proofErr w:type="gramEnd"/>
      <w:r w:rsidR="00854941">
        <w:rPr>
          <w:color w:val="181818"/>
          <w:w w:val="105"/>
          <w:sz w:val="24"/>
        </w:rPr>
        <w:t xml:space="preserve"> in accordance with the law.  </w:t>
      </w:r>
      <w:r w:rsidR="00FC113B">
        <w:rPr>
          <w:color w:val="1F1F1F"/>
          <w:w w:val="105"/>
          <w:sz w:val="24"/>
        </w:rPr>
        <w:t>In this case, the</w:t>
      </w:r>
      <w:r w:rsidR="00FC113B" w:rsidRPr="005313BD">
        <w:rPr>
          <w:color w:val="1F1F1F"/>
          <w:spacing w:val="-21"/>
          <w:w w:val="105"/>
          <w:sz w:val="24"/>
        </w:rPr>
        <w:t xml:space="preserve"> </w:t>
      </w:r>
      <w:r w:rsidR="00FC113B" w:rsidRPr="005313BD">
        <w:rPr>
          <w:color w:val="1F1F1F"/>
          <w:w w:val="105"/>
          <w:sz w:val="24"/>
        </w:rPr>
        <w:t>CY15 AFR Line and Non</w:t>
      </w:r>
      <w:r w:rsidR="00FC113B">
        <w:rPr>
          <w:color w:val="1F1F1F"/>
          <w:w w:val="105"/>
          <w:sz w:val="24"/>
        </w:rPr>
        <w:t>-L</w:t>
      </w:r>
      <w:r w:rsidR="00FC113B" w:rsidRPr="005313BD">
        <w:rPr>
          <w:color w:val="1F1F1F"/>
          <w:w w:val="105"/>
          <w:sz w:val="24"/>
        </w:rPr>
        <w:t xml:space="preserve">ine Major Promotion Selection Board and the CY16 </w:t>
      </w:r>
      <w:r w:rsidR="00FC113B" w:rsidRPr="00A742A4">
        <w:rPr>
          <w:color w:val="1F1F1F"/>
          <w:w w:val="105"/>
          <w:sz w:val="24"/>
        </w:rPr>
        <w:t xml:space="preserve">AFR Line and Non-Line Major Promotion Selection Board </w:t>
      </w:r>
      <w:proofErr w:type="gramStart"/>
      <w:r w:rsidR="00FC113B" w:rsidRPr="00A742A4">
        <w:rPr>
          <w:color w:val="1F1F1F"/>
          <w:w w:val="105"/>
          <w:sz w:val="24"/>
        </w:rPr>
        <w:t>were conducted</w:t>
      </w:r>
      <w:proofErr w:type="gramEnd"/>
      <w:r w:rsidR="00FC113B" w:rsidRPr="00A742A4">
        <w:rPr>
          <w:color w:val="1F1F1F"/>
          <w:w w:val="105"/>
          <w:sz w:val="24"/>
        </w:rPr>
        <w:t xml:space="preserve"> in accordance with law. </w:t>
      </w:r>
      <w:r w:rsidR="00FC113B">
        <w:rPr>
          <w:color w:val="1F1F1F"/>
          <w:w w:val="105"/>
          <w:sz w:val="24"/>
        </w:rPr>
        <w:t xml:space="preserve"> In addition, h</w:t>
      </w:r>
      <w:r w:rsidR="00854941" w:rsidRPr="005313BD">
        <w:rPr>
          <w:color w:val="181818"/>
          <w:w w:val="105"/>
          <w:sz w:val="24"/>
        </w:rPr>
        <w:t>e separated from the ANG prior to the CY14 ANG Line and Non</w:t>
      </w:r>
      <w:r w:rsidR="00854941">
        <w:rPr>
          <w:color w:val="181818"/>
          <w:w w:val="105"/>
          <w:sz w:val="24"/>
        </w:rPr>
        <w:t>-L</w:t>
      </w:r>
      <w:r w:rsidR="00854941" w:rsidRPr="005313BD">
        <w:rPr>
          <w:color w:val="181818"/>
          <w:w w:val="105"/>
          <w:sz w:val="24"/>
        </w:rPr>
        <w:t>ine Lieutenant Colonel and Major Promotion Board and joined the AFR</w:t>
      </w:r>
      <w:r w:rsidR="00854941">
        <w:rPr>
          <w:color w:val="181818"/>
          <w:w w:val="105"/>
          <w:sz w:val="24"/>
        </w:rPr>
        <w:t>, which was</w:t>
      </w:r>
      <w:r w:rsidR="00854941" w:rsidRPr="005313BD">
        <w:rPr>
          <w:color w:val="181818"/>
          <w:w w:val="105"/>
          <w:sz w:val="24"/>
        </w:rPr>
        <w:t xml:space="preserve"> after the </w:t>
      </w:r>
      <w:r w:rsidR="00F653C9">
        <w:rPr>
          <w:color w:val="181818"/>
          <w:w w:val="105"/>
          <w:sz w:val="24"/>
        </w:rPr>
        <w:t xml:space="preserve">convening of the </w:t>
      </w:r>
      <w:r w:rsidR="00854941" w:rsidRPr="005313BD">
        <w:rPr>
          <w:color w:val="181818"/>
          <w:w w:val="105"/>
          <w:sz w:val="24"/>
        </w:rPr>
        <w:t xml:space="preserve">CY14 AFR </w:t>
      </w:r>
      <w:r w:rsidR="00854941">
        <w:rPr>
          <w:color w:val="181818"/>
          <w:w w:val="105"/>
          <w:sz w:val="24"/>
        </w:rPr>
        <w:t>Line and Non-L</w:t>
      </w:r>
      <w:r w:rsidR="00854941" w:rsidRPr="005313BD">
        <w:rPr>
          <w:color w:val="181818"/>
          <w:w w:val="105"/>
          <w:sz w:val="24"/>
        </w:rPr>
        <w:t>ine Major Pr</w:t>
      </w:r>
      <w:r w:rsidR="00F653C9">
        <w:rPr>
          <w:color w:val="181818"/>
          <w:w w:val="105"/>
          <w:sz w:val="24"/>
        </w:rPr>
        <w:t>omotion Selection Board</w:t>
      </w:r>
      <w:r w:rsidR="00854941" w:rsidRPr="005313BD">
        <w:rPr>
          <w:color w:val="181818"/>
          <w:w w:val="105"/>
          <w:sz w:val="24"/>
        </w:rPr>
        <w:t>.</w:t>
      </w:r>
      <w:r w:rsidR="00E538F6">
        <w:rPr>
          <w:color w:val="181818"/>
          <w:w w:val="105"/>
          <w:sz w:val="24"/>
        </w:rPr>
        <w:t xml:space="preserve">  He met the CY15 and CY 16 AFR Line and Non-</w:t>
      </w:r>
      <w:r w:rsidR="00E538F6">
        <w:rPr>
          <w:color w:val="181818"/>
          <w:w w:val="105"/>
          <w:sz w:val="24"/>
        </w:rPr>
        <w:lastRenderedPageBreak/>
        <w:t xml:space="preserve">Line Major Promotion Selection Boards, but was not selected for promotion and because he was twice </w:t>
      </w:r>
      <w:proofErr w:type="gramStart"/>
      <w:r w:rsidR="00E538F6">
        <w:rPr>
          <w:color w:val="181818"/>
          <w:w w:val="105"/>
          <w:sz w:val="24"/>
        </w:rPr>
        <w:t>non-selected</w:t>
      </w:r>
      <w:proofErr w:type="gramEnd"/>
      <w:r w:rsidR="00E538F6">
        <w:rPr>
          <w:color w:val="181818"/>
          <w:w w:val="105"/>
          <w:sz w:val="24"/>
        </w:rPr>
        <w:t xml:space="preserve"> he was discharged from the AFR.</w:t>
      </w:r>
    </w:p>
    <w:p w14:paraId="3E0F3493" w14:textId="77777777" w:rsidR="00854941" w:rsidRPr="005313BD" w:rsidRDefault="00854941" w:rsidP="00854941">
      <w:pPr>
        <w:rPr>
          <w:sz w:val="24"/>
        </w:rPr>
      </w:pPr>
    </w:p>
    <w:p w14:paraId="5691427F" w14:textId="2BA17EC9" w:rsidR="007A2180" w:rsidRPr="003A2BEE" w:rsidRDefault="00854941" w:rsidP="00854941">
      <w:pPr>
        <w:pStyle w:val="ListParagraph"/>
        <w:tabs>
          <w:tab w:val="left" w:pos="565"/>
          <w:tab w:val="left" w:pos="566"/>
        </w:tabs>
        <w:spacing w:line="240" w:lineRule="exact"/>
        <w:ind w:left="0" w:firstLine="0"/>
        <w:jc w:val="both"/>
        <w:rPr>
          <w:sz w:val="24"/>
        </w:rPr>
      </w:pPr>
      <w:proofErr w:type="gramStart"/>
      <w:r w:rsidRPr="005313BD">
        <w:rPr>
          <w:rFonts w:ascii="Times New Roman"/>
          <w:color w:val="1F1F1F"/>
          <w:w w:val="105"/>
          <w:sz w:val="24"/>
          <w:szCs w:val="24"/>
        </w:rPr>
        <w:t>In accordance with Title 1</w:t>
      </w:r>
      <w:r>
        <w:rPr>
          <w:rFonts w:ascii="Times New Roman"/>
          <w:color w:val="1F1F1F"/>
          <w:w w:val="105"/>
          <w:sz w:val="24"/>
          <w:szCs w:val="24"/>
        </w:rPr>
        <w:t>0, United States Code (U.S.C.), S</w:t>
      </w:r>
      <w:r w:rsidRPr="005313BD">
        <w:rPr>
          <w:rFonts w:ascii="Times New Roman"/>
          <w:color w:val="1F1F1F"/>
          <w:w w:val="105"/>
          <w:sz w:val="24"/>
          <w:szCs w:val="24"/>
        </w:rPr>
        <w:t>ection 14502 and AF</w:t>
      </w:r>
      <w:r>
        <w:rPr>
          <w:rFonts w:ascii="Times New Roman"/>
          <w:color w:val="1F1F1F"/>
          <w:w w:val="105"/>
          <w:sz w:val="24"/>
          <w:szCs w:val="24"/>
        </w:rPr>
        <w:t>I</w:t>
      </w:r>
      <w:r w:rsidRPr="005313BD">
        <w:rPr>
          <w:rFonts w:ascii="Times New Roman"/>
          <w:color w:val="1F1F1F"/>
          <w:spacing w:val="-15"/>
          <w:w w:val="105"/>
          <w:sz w:val="24"/>
          <w:szCs w:val="24"/>
        </w:rPr>
        <w:t xml:space="preserve"> </w:t>
      </w:r>
      <w:r w:rsidRPr="005313BD">
        <w:rPr>
          <w:rFonts w:ascii="Times New Roman"/>
          <w:color w:val="1F1F1F"/>
          <w:w w:val="105"/>
          <w:sz w:val="24"/>
          <w:szCs w:val="24"/>
        </w:rPr>
        <w:t>36-2504,</w:t>
      </w:r>
      <w:r w:rsidRPr="005313BD">
        <w:rPr>
          <w:rFonts w:ascii="Times New Roman"/>
          <w:color w:val="1F1F1F"/>
          <w:spacing w:val="-11"/>
          <w:w w:val="105"/>
          <w:sz w:val="24"/>
          <w:szCs w:val="24"/>
        </w:rPr>
        <w:t xml:space="preserve"> </w:t>
      </w:r>
      <w:r w:rsidRPr="005313BD">
        <w:rPr>
          <w:rFonts w:ascii="Times New Roman"/>
          <w:i/>
          <w:color w:val="1F1F1F"/>
          <w:w w:val="105"/>
          <w:sz w:val="24"/>
          <w:szCs w:val="24"/>
        </w:rPr>
        <w:t>Officer</w:t>
      </w:r>
      <w:r w:rsidRPr="005313BD">
        <w:rPr>
          <w:rFonts w:ascii="Times New Roman"/>
          <w:i/>
          <w:color w:val="1F1F1F"/>
          <w:spacing w:val="-11"/>
          <w:w w:val="105"/>
          <w:sz w:val="24"/>
          <w:szCs w:val="24"/>
        </w:rPr>
        <w:t xml:space="preserve"> </w:t>
      </w:r>
      <w:r w:rsidRPr="005313BD">
        <w:rPr>
          <w:rFonts w:ascii="Times New Roman"/>
          <w:i/>
          <w:color w:val="1F1F1F"/>
          <w:w w:val="105"/>
          <w:sz w:val="24"/>
          <w:szCs w:val="24"/>
        </w:rPr>
        <w:t>Promotion,</w:t>
      </w:r>
      <w:r w:rsidRPr="005313BD">
        <w:rPr>
          <w:rFonts w:ascii="Times New Roman"/>
          <w:i/>
          <w:color w:val="1F1F1F"/>
          <w:spacing w:val="1"/>
          <w:w w:val="105"/>
          <w:sz w:val="24"/>
          <w:szCs w:val="24"/>
        </w:rPr>
        <w:t xml:space="preserve"> </w:t>
      </w:r>
      <w:r w:rsidRPr="005313BD">
        <w:rPr>
          <w:rFonts w:ascii="Times New Roman"/>
          <w:i/>
          <w:color w:val="1F1F1F"/>
          <w:w w:val="105"/>
          <w:sz w:val="24"/>
          <w:szCs w:val="24"/>
        </w:rPr>
        <w:t>Continuation</w:t>
      </w:r>
      <w:r w:rsidRPr="005313BD">
        <w:rPr>
          <w:rFonts w:ascii="Times New Roman"/>
          <w:i/>
          <w:color w:val="1F1F1F"/>
          <w:spacing w:val="-4"/>
          <w:w w:val="105"/>
          <w:sz w:val="24"/>
          <w:szCs w:val="24"/>
        </w:rPr>
        <w:t xml:space="preserve"> </w:t>
      </w:r>
      <w:r w:rsidRPr="005313BD">
        <w:rPr>
          <w:rFonts w:ascii="Times New Roman"/>
          <w:i/>
          <w:color w:val="1F1F1F"/>
          <w:w w:val="105"/>
          <w:sz w:val="24"/>
          <w:szCs w:val="24"/>
        </w:rPr>
        <w:t>and</w:t>
      </w:r>
      <w:r w:rsidRPr="005313BD">
        <w:rPr>
          <w:rFonts w:ascii="Times New Roman"/>
          <w:i/>
          <w:color w:val="1F1F1F"/>
          <w:spacing w:val="-21"/>
          <w:w w:val="105"/>
          <w:sz w:val="24"/>
          <w:szCs w:val="24"/>
        </w:rPr>
        <w:t xml:space="preserve"> </w:t>
      </w:r>
      <w:r w:rsidRPr="005313BD">
        <w:rPr>
          <w:rFonts w:ascii="Times New Roman"/>
          <w:i/>
          <w:color w:val="1F1F1F"/>
          <w:w w:val="105"/>
          <w:sz w:val="24"/>
          <w:szCs w:val="24"/>
        </w:rPr>
        <w:t>Selective</w:t>
      </w:r>
      <w:r w:rsidRPr="005313BD">
        <w:rPr>
          <w:rFonts w:ascii="Times New Roman"/>
          <w:i/>
          <w:color w:val="1F1F1F"/>
          <w:spacing w:val="-4"/>
          <w:w w:val="105"/>
          <w:sz w:val="24"/>
          <w:szCs w:val="24"/>
        </w:rPr>
        <w:t xml:space="preserve"> </w:t>
      </w:r>
      <w:r w:rsidRPr="005313BD">
        <w:rPr>
          <w:rFonts w:ascii="Times New Roman"/>
          <w:i/>
          <w:color w:val="1F1F1F"/>
          <w:w w:val="105"/>
          <w:sz w:val="24"/>
          <w:szCs w:val="24"/>
        </w:rPr>
        <w:t>Early</w:t>
      </w:r>
      <w:r w:rsidRPr="005313BD">
        <w:rPr>
          <w:rFonts w:ascii="Times New Roman"/>
          <w:i/>
          <w:color w:val="1F1F1F"/>
          <w:spacing w:val="-15"/>
          <w:w w:val="105"/>
          <w:sz w:val="24"/>
          <w:szCs w:val="24"/>
        </w:rPr>
        <w:t xml:space="preserve"> </w:t>
      </w:r>
      <w:r w:rsidRPr="005313BD">
        <w:rPr>
          <w:rFonts w:ascii="Times New Roman"/>
          <w:i/>
          <w:color w:val="1F1F1F"/>
          <w:w w:val="105"/>
          <w:sz w:val="24"/>
          <w:szCs w:val="24"/>
        </w:rPr>
        <w:t>Removal</w:t>
      </w:r>
      <w:r w:rsidRPr="005313BD">
        <w:rPr>
          <w:rFonts w:ascii="Times New Roman"/>
          <w:i/>
          <w:color w:val="1F1F1F"/>
          <w:spacing w:val="-17"/>
          <w:w w:val="105"/>
          <w:sz w:val="24"/>
          <w:szCs w:val="24"/>
        </w:rPr>
        <w:t xml:space="preserve"> </w:t>
      </w:r>
      <w:r w:rsidRPr="005313BD">
        <w:rPr>
          <w:rFonts w:ascii="Times New Roman"/>
          <w:i/>
          <w:color w:val="1F1F1F"/>
          <w:w w:val="105"/>
          <w:sz w:val="24"/>
          <w:szCs w:val="24"/>
        </w:rPr>
        <w:t>in</w:t>
      </w:r>
      <w:r w:rsidRPr="005313BD">
        <w:rPr>
          <w:rFonts w:ascii="Times New Roman"/>
          <w:i/>
          <w:color w:val="1F1F1F"/>
          <w:spacing w:val="-23"/>
          <w:w w:val="105"/>
          <w:sz w:val="24"/>
          <w:szCs w:val="24"/>
        </w:rPr>
        <w:t xml:space="preserve"> </w:t>
      </w:r>
      <w:r w:rsidRPr="005313BD">
        <w:rPr>
          <w:rFonts w:ascii="Times New Roman"/>
          <w:i/>
          <w:color w:val="1F1F1F"/>
          <w:w w:val="105"/>
          <w:sz w:val="24"/>
          <w:szCs w:val="24"/>
        </w:rPr>
        <w:t xml:space="preserve">the Reserve of the Air Force, </w:t>
      </w:r>
      <w:r w:rsidRPr="005313BD">
        <w:rPr>
          <w:rFonts w:ascii="Times New Roman"/>
          <w:color w:val="1F1F1F"/>
          <w:w w:val="105"/>
          <w:sz w:val="24"/>
          <w:szCs w:val="24"/>
        </w:rPr>
        <w:t xml:space="preserve">Chapter 9, </w:t>
      </w:r>
      <w:r>
        <w:rPr>
          <w:rFonts w:ascii="Times New Roman"/>
          <w:color w:val="1F1F1F"/>
          <w:w w:val="105"/>
          <w:sz w:val="24"/>
          <w:szCs w:val="24"/>
        </w:rPr>
        <w:t xml:space="preserve">in order </w:t>
      </w:r>
      <w:r w:rsidRPr="005313BD">
        <w:rPr>
          <w:rFonts w:ascii="Times New Roman"/>
          <w:color w:val="1F1F1F"/>
          <w:w w:val="105"/>
          <w:sz w:val="24"/>
          <w:szCs w:val="24"/>
        </w:rPr>
        <w:t>to grant an SSB</w:t>
      </w:r>
      <w:r>
        <w:rPr>
          <w:rFonts w:ascii="Times New Roman"/>
          <w:color w:val="1F1F1F"/>
          <w:w w:val="105"/>
          <w:sz w:val="24"/>
          <w:szCs w:val="24"/>
        </w:rPr>
        <w:t>,</w:t>
      </w:r>
      <w:r w:rsidRPr="005313BD">
        <w:rPr>
          <w:rFonts w:ascii="Times New Roman"/>
          <w:color w:val="1F1F1F"/>
          <w:w w:val="105"/>
          <w:sz w:val="24"/>
          <w:szCs w:val="24"/>
        </w:rPr>
        <w:t xml:space="preserve"> the promotion board must have acted contrary to law, there was an administrative e</w:t>
      </w:r>
      <w:r>
        <w:rPr>
          <w:rFonts w:ascii="Times New Roman"/>
          <w:color w:val="1F1F1F"/>
          <w:w w:val="105"/>
          <w:sz w:val="24"/>
          <w:szCs w:val="24"/>
        </w:rPr>
        <w:t>rro</w:t>
      </w:r>
      <w:r w:rsidRPr="005313BD">
        <w:rPr>
          <w:rFonts w:ascii="Times New Roman"/>
          <w:color w:val="1F1F1F"/>
          <w:w w:val="105"/>
          <w:sz w:val="24"/>
          <w:szCs w:val="24"/>
        </w:rPr>
        <w:t>r, or the board</w:t>
      </w:r>
      <w:r>
        <w:rPr>
          <w:rFonts w:ascii="Times New Roman"/>
          <w:color w:val="1F1F1F"/>
          <w:w w:val="105"/>
          <w:sz w:val="24"/>
          <w:szCs w:val="24"/>
        </w:rPr>
        <w:t xml:space="preserve"> did not consider material infor</w:t>
      </w:r>
      <w:r w:rsidRPr="005313BD">
        <w:rPr>
          <w:rFonts w:ascii="Times New Roman"/>
          <w:color w:val="1F1F1F"/>
          <w:w w:val="105"/>
          <w:sz w:val="24"/>
          <w:szCs w:val="24"/>
        </w:rPr>
        <w:t>mation that should have been available</w:t>
      </w:r>
      <w:r w:rsidRPr="00A742A4">
        <w:rPr>
          <w:rFonts w:ascii="Times New Roman" w:hAnsi="Times New Roman" w:cs="Times New Roman"/>
          <w:color w:val="1F1F1F"/>
          <w:w w:val="105"/>
          <w:sz w:val="24"/>
          <w:szCs w:val="24"/>
        </w:rPr>
        <w:t xml:space="preserve"> </w:t>
      </w:r>
      <w:r w:rsidR="00FC113B">
        <w:rPr>
          <w:rFonts w:ascii="Times New Roman" w:hAnsi="Times New Roman" w:cs="Times New Roman"/>
          <w:color w:val="1F1F1F"/>
          <w:w w:val="105"/>
          <w:sz w:val="24"/>
          <w:szCs w:val="24"/>
        </w:rPr>
        <w:t xml:space="preserve">  </w:t>
      </w:r>
      <w:r w:rsidR="007A2180" w:rsidRPr="00A742A4">
        <w:rPr>
          <w:rFonts w:ascii="Times New Roman" w:hAnsi="Times New Roman" w:cs="Times New Roman"/>
          <w:sz w:val="24"/>
        </w:rPr>
        <w:t>The complete advisory is at Exhibit C.</w:t>
      </w:r>
      <w:proofErr w:type="gramEnd"/>
    </w:p>
    <w:p w14:paraId="473E1328" w14:textId="77777777" w:rsidR="00792A51" w:rsidRPr="003A2BEE" w:rsidRDefault="00792A51" w:rsidP="00854941">
      <w:pPr>
        <w:rPr>
          <w:sz w:val="24"/>
        </w:rPr>
      </w:pPr>
    </w:p>
    <w:p w14:paraId="25E62B6F" w14:textId="5BD679F1" w:rsidR="00CA2086" w:rsidRPr="003A2BEE" w:rsidRDefault="007A2180" w:rsidP="00854941">
      <w:pPr>
        <w:keepNext/>
        <w:rPr>
          <w:sz w:val="24"/>
        </w:rPr>
      </w:pPr>
      <w:proofErr w:type="gramStart"/>
      <w:r w:rsidRPr="003A2BEE">
        <w:rPr>
          <w:b/>
          <w:sz w:val="24"/>
        </w:rPr>
        <w:t>APPLICANT’S</w:t>
      </w:r>
      <w:proofErr w:type="gramEnd"/>
      <w:r w:rsidRPr="003A2BEE">
        <w:rPr>
          <w:b/>
          <w:sz w:val="24"/>
        </w:rPr>
        <w:t xml:space="preserve"> REVIEW OF AIR FORCE EVALUATION</w:t>
      </w:r>
      <w:r w:rsidR="00CA2086" w:rsidRPr="003A2BEE">
        <w:rPr>
          <w:b/>
          <w:sz w:val="24"/>
        </w:rPr>
        <w:t>:</w:t>
      </w:r>
    </w:p>
    <w:p w14:paraId="14BCE494" w14:textId="77777777" w:rsidR="00CA2086" w:rsidRPr="003A2BEE" w:rsidRDefault="00CA2086" w:rsidP="00854941">
      <w:pPr>
        <w:keepNext/>
        <w:rPr>
          <w:sz w:val="24"/>
        </w:rPr>
      </w:pPr>
    </w:p>
    <w:p w14:paraId="6304E8C9" w14:textId="322F1F60" w:rsidR="007A2180" w:rsidRPr="003A2BEE" w:rsidRDefault="007A2180" w:rsidP="00854941">
      <w:pPr>
        <w:keepNext/>
        <w:rPr>
          <w:sz w:val="24"/>
        </w:rPr>
      </w:pPr>
      <w:r w:rsidRPr="003A2BEE">
        <w:rPr>
          <w:sz w:val="24"/>
        </w:rPr>
        <w:t xml:space="preserve">The Board sent a copy of the Air Force evaluation to the applicant on </w:t>
      </w:r>
      <w:proofErr w:type="gramStart"/>
      <w:r w:rsidR="003A2BEE">
        <w:rPr>
          <w:rFonts w:eastAsia="Calibri"/>
          <w:sz w:val="24"/>
        </w:rPr>
        <w:t>8</w:t>
      </w:r>
      <w:proofErr w:type="gramEnd"/>
      <w:r w:rsidR="003A2BEE">
        <w:rPr>
          <w:rFonts w:eastAsia="Calibri"/>
          <w:sz w:val="24"/>
        </w:rPr>
        <w:t xml:space="preserve"> Mar 18</w:t>
      </w:r>
      <w:r w:rsidRPr="003A2BEE">
        <w:rPr>
          <w:sz w:val="24"/>
        </w:rPr>
        <w:t xml:space="preserve"> for comment (Exhibit D), but has received no response.</w:t>
      </w:r>
    </w:p>
    <w:p w14:paraId="2DD5D08A" w14:textId="77777777" w:rsidR="00132C16" w:rsidRPr="003A2BEE" w:rsidRDefault="00132C16" w:rsidP="00854941">
      <w:pPr>
        <w:rPr>
          <w:sz w:val="24"/>
        </w:rPr>
      </w:pPr>
    </w:p>
    <w:p w14:paraId="7EAE02EA" w14:textId="64B9A232" w:rsidR="006815AB" w:rsidRPr="003A2BEE" w:rsidRDefault="00CA2086" w:rsidP="00854941">
      <w:pPr>
        <w:keepNext/>
        <w:rPr>
          <w:b/>
          <w:sz w:val="24"/>
        </w:rPr>
      </w:pPr>
      <w:r w:rsidRPr="003A2BEE">
        <w:rPr>
          <w:b/>
          <w:sz w:val="24"/>
        </w:rPr>
        <w:t xml:space="preserve">THE </w:t>
      </w:r>
      <w:r w:rsidR="00CD5D4D" w:rsidRPr="003A2BEE">
        <w:rPr>
          <w:b/>
          <w:sz w:val="24"/>
        </w:rPr>
        <w:t>BOARD C</w:t>
      </w:r>
      <w:r w:rsidR="002A0AA2" w:rsidRPr="003A2BEE">
        <w:rPr>
          <w:b/>
          <w:sz w:val="24"/>
        </w:rPr>
        <w:t>ONCLU</w:t>
      </w:r>
      <w:r w:rsidRPr="003A2BEE">
        <w:rPr>
          <w:b/>
          <w:sz w:val="24"/>
        </w:rPr>
        <w:t>DES THAT</w:t>
      </w:r>
      <w:r w:rsidR="00D409B2" w:rsidRPr="003A2BEE">
        <w:rPr>
          <w:b/>
          <w:sz w:val="24"/>
        </w:rPr>
        <w:t>:</w:t>
      </w:r>
    </w:p>
    <w:p w14:paraId="74B2C177" w14:textId="77777777" w:rsidR="006815AB" w:rsidRPr="003A2BEE" w:rsidRDefault="006815AB" w:rsidP="00854941">
      <w:pPr>
        <w:keepNext/>
        <w:rPr>
          <w:b/>
          <w:sz w:val="24"/>
        </w:rPr>
      </w:pPr>
    </w:p>
    <w:p w14:paraId="08B4F92E" w14:textId="5ADC28D5" w:rsidR="006815AB" w:rsidRPr="003A2BEE" w:rsidRDefault="005125DF" w:rsidP="00854941">
      <w:pPr>
        <w:keepNext/>
        <w:rPr>
          <w:sz w:val="24"/>
        </w:rPr>
      </w:pPr>
      <w:r w:rsidRPr="003A2BEE">
        <w:rPr>
          <w:sz w:val="24"/>
        </w:rPr>
        <w:t>1.</w:t>
      </w:r>
      <w:r w:rsidR="007A2180" w:rsidRPr="003A2BEE">
        <w:rPr>
          <w:sz w:val="24"/>
        </w:rPr>
        <w:t>  </w:t>
      </w:r>
      <w:r w:rsidR="003F116F" w:rsidRPr="003A2BEE">
        <w:rPr>
          <w:sz w:val="24"/>
        </w:rPr>
        <w:t xml:space="preserve">The application </w:t>
      </w:r>
      <w:proofErr w:type="gramStart"/>
      <w:r w:rsidR="003F116F" w:rsidRPr="003A2BEE">
        <w:rPr>
          <w:sz w:val="24"/>
        </w:rPr>
        <w:t>was timely filed</w:t>
      </w:r>
      <w:proofErr w:type="gramEnd"/>
      <w:r w:rsidR="007A2180" w:rsidRPr="003A2BEE">
        <w:rPr>
          <w:sz w:val="24"/>
        </w:rPr>
        <w:t>.</w:t>
      </w:r>
    </w:p>
    <w:p w14:paraId="21C8126F" w14:textId="77777777" w:rsidR="006815AB" w:rsidRPr="003A2BEE" w:rsidRDefault="006815AB" w:rsidP="00854941">
      <w:pPr>
        <w:keepNext/>
        <w:rPr>
          <w:sz w:val="24"/>
        </w:rPr>
      </w:pPr>
    </w:p>
    <w:p w14:paraId="4ED0EBBB" w14:textId="02BCFC44" w:rsidR="006815AB" w:rsidRPr="003A2BEE" w:rsidRDefault="00CB642D" w:rsidP="00854941">
      <w:pPr>
        <w:rPr>
          <w:sz w:val="24"/>
        </w:rPr>
      </w:pPr>
      <w:r w:rsidRPr="003A2BEE">
        <w:rPr>
          <w:sz w:val="24"/>
        </w:rPr>
        <w:t>2</w:t>
      </w:r>
      <w:r w:rsidR="005125DF" w:rsidRPr="003A2BEE">
        <w:rPr>
          <w:sz w:val="24"/>
        </w:rPr>
        <w:t>.</w:t>
      </w:r>
      <w:r w:rsidR="007A2180" w:rsidRPr="003A2BEE">
        <w:rPr>
          <w:sz w:val="24"/>
        </w:rPr>
        <w:t>  </w:t>
      </w:r>
      <w:r w:rsidR="003F116F" w:rsidRPr="003A2BEE">
        <w:rPr>
          <w:sz w:val="24"/>
        </w:rPr>
        <w:t xml:space="preserve">The </w:t>
      </w:r>
      <w:r w:rsidR="00E5314D" w:rsidRPr="003A2BEE">
        <w:rPr>
          <w:sz w:val="24"/>
        </w:rPr>
        <w:t>applicant</w:t>
      </w:r>
      <w:r w:rsidR="003F116F" w:rsidRPr="003A2BEE">
        <w:rPr>
          <w:sz w:val="24"/>
        </w:rPr>
        <w:t xml:space="preserve"> exhausted all available avenues of non-judicial relief before applying to the Board</w:t>
      </w:r>
      <w:r w:rsidR="007A2180" w:rsidRPr="003A2BEE">
        <w:rPr>
          <w:sz w:val="24"/>
        </w:rPr>
        <w:t>.</w:t>
      </w:r>
    </w:p>
    <w:p w14:paraId="213CB087" w14:textId="77777777" w:rsidR="006815AB" w:rsidRPr="003A2BEE" w:rsidRDefault="006815AB" w:rsidP="00854941">
      <w:pPr>
        <w:rPr>
          <w:sz w:val="24"/>
        </w:rPr>
      </w:pPr>
    </w:p>
    <w:p w14:paraId="304CFB71" w14:textId="3B51279A" w:rsidR="006815AB" w:rsidRPr="003A2BEE" w:rsidRDefault="007A2180" w:rsidP="00854941">
      <w:pPr>
        <w:rPr>
          <w:sz w:val="24"/>
        </w:rPr>
      </w:pPr>
      <w:r w:rsidRPr="003A2BEE">
        <w:rPr>
          <w:sz w:val="24"/>
        </w:rPr>
        <w:t>3.  </w:t>
      </w:r>
      <w:r w:rsidR="006D4DAC" w:rsidRPr="003A2BEE">
        <w:rPr>
          <w:sz w:val="24"/>
        </w:rPr>
        <w:t xml:space="preserve"> </w:t>
      </w:r>
      <w:r w:rsidR="006815AB" w:rsidRPr="003A2BEE">
        <w:rPr>
          <w:sz w:val="24"/>
        </w:rPr>
        <w:t xml:space="preserve">After thoroughly reviewing all Exhibits, it is </w:t>
      </w:r>
      <w:r w:rsidR="00B14652" w:rsidRPr="003A2BEE">
        <w:rPr>
          <w:sz w:val="24"/>
        </w:rPr>
        <w:t>the Board’s</w:t>
      </w:r>
      <w:r w:rsidR="006815AB" w:rsidRPr="003A2BEE">
        <w:rPr>
          <w:sz w:val="24"/>
        </w:rPr>
        <w:t xml:space="preserve"> opinion that the </w:t>
      </w:r>
      <w:r w:rsidR="00E5314D" w:rsidRPr="003A2BEE">
        <w:rPr>
          <w:sz w:val="24"/>
        </w:rPr>
        <w:t>applicant</w:t>
      </w:r>
      <w:r w:rsidR="006815AB" w:rsidRPr="003A2BEE">
        <w:rPr>
          <w:sz w:val="24"/>
        </w:rPr>
        <w:t xml:space="preserve"> is </w:t>
      </w:r>
      <w:r w:rsidR="00686034" w:rsidRPr="003A2BEE">
        <w:rPr>
          <w:sz w:val="24"/>
        </w:rPr>
        <w:t xml:space="preserve">not </w:t>
      </w:r>
      <w:r w:rsidR="006815AB" w:rsidRPr="003A2BEE">
        <w:rPr>
          <w:sz w:val="24"/>
        </w:rPr>
        <w:t xml:space="preserve">the victim of an </w:t>
      </w:r>
      <w:r w:rsidR="00406D0C" w:rsidRPr="003A2BEE">
        <w:rPr>
          <w:sz w:val="24"/>
        </w:rPr>
        <w:t xml:space="preserve">error </w:t>
      </w:r>
      <w:r w:rsidR="003A2BEE" w:rsidRPr="003A2BEE">
        <w:rPr>
          <w:sz w:val="24"/>
        </w:rPr>
        <w:t>or</w:t>
      </w:r>
      <w:r w:rsidR="00406D0C" w:rsidRPr="003A2BEE">
        <w:rPr>
          <w:sz w:val="24"/>
        </w:rPr>
        <w:t xml:space="preserve"> injustice</w:t>
      </w:r>
      <w:r w:rsidR="006815AB" w:rsidRPr="003A2BEE">
        <w:rPr>
          <w:sz w:val="24"/>
        </w:rPr>
        <w:t xml:space="preserve">.  </w:t>
      </w:r>
      <w:r w:rsidR="00B14652" w:rsidRPr="003A2BEE">
        <w:rPr>
          <w:sz w:val="24"/>
        </w:rPr>
        <w:t>The Board</w:t>
      </w:r>
      <w:r w:rsidR="006815AB" w:rsidRPr="003A2BEE">
        <w:rPr>
          <w:sz w:val="24"/>
        </w:rPr>
        <w:t xml:space="preserve"> </w:t>
      </w:r>
      <w:r w:rsidR="00B14652" w:rsidRPr="003A2BEE">
        <w:rPr>
          <w:sz w:val="24"/>
        </w:rPr>
        <w:t>concurs</w:t>
      </w:r>
      <w:r w:rsidR="006815AB" w:rsidRPr="003A2BEE">
        <w:rPr>
          <w:sz w:val="24"/>
        </w:rPr>
        <w:t xml:space="preserve"> with</w:t>
      </w:r>
      <w:r w:rsidR="00243ACC" w:rsidRPr="003A2BEE">
        <w:rPr>
          <w:sz w:val="24"/>
        </w:rPr>
        <w:t xml:space="preserve"> the rationale and recommendation of</w:t>
      </w:r>
      <w:r w:rsidR="006815AB" w:rsidRPr="003A2BEE">
        <w:rPr>
          <w:sz w:val="24"/>
        </w:rPr>
        <w:t xml:space="preserve"> </w:t>
      </w:r>
      <w:r w:rsidR="003A2BEE" w:rsidRPr="003A2BEE">
        <w:rPr>
          <w:sz w:val="24"/>
        </w:rPr>
        <w:t>ARPC/PB</w:t>
      </w:r>
      <w:r w:rsidR="006815AB" w:rsidRPr="003A2BEE">
        <w:rPr>
          <w:sz w:val="24"/>
        </w:rPr>
        <w:t xml:space="preserve"> and find</w:t>
      </w:r>
      <w:r w:rsidR="00B14652" w:rsidRPr="003A2BEE">
        <w:rPr>
          <w:sz w:val="24"/>
        </w:rPr>
        <w:t>s</w:t>
      </w:r>
      <w:r w:rsidR="006815AB" w:rsidRPr="003A2BEE">
        <w:rPr>
          <w:sz w:val="24"/>
        </w:rPr>
        <w:t xml:space="preserve"> that a preponderance of the evidence </w:t>
      </w:r>
      <w:r w:rsidR="00686034" w:rsidRPr="003A2BEE">
        <w:rPr>
          <w:sz w:val="24"/>
        </w:rPr>
        <w:t>does not substantiate</w:t>
      </w:r>
      <w:r w:rsidR="00AC5CA8" w:rsidRPr="003A2BEE">
        <w:rPr>
          <w:sz w:val="24"/>
        </w:rPr>
        <w:t xml:space="preserve"> the </w:t>
      </w:r>
      <w:r w:rsidR="00E5314D" w:rsidRPr="003A2BEE">
        <w:rPr>
          <w:sz w:val="24"/>
        </w:rPr>
        <w:t>applicant</w:t>
      </w:r>
      <w:r w:rsidR="00AC5CA8" w:rsidRPr="003A2BEE">
        <w:rPr>
          <w:sz w:val="24"/>
        </w:rPr>
        <w:t>’s contentions</w:t>
      </w:r>
      <w:r w:rsidR="006815AB" w:rsidRPr="003A2BEE">
        <w:rPr>
          <w:sz w:val="24"/>
        </w:rPr>
        <w:t>.</w:t>
      </w:r>
      <w:r w:rsidR="00406D0C" w:rsidRPr="003A2BEE">
        <w:rPr>
          <w:sz w:val="24"/>
        </w:rPr>
        <w:t xml:space="preserve"> </w:t>
      </w:r>
      <w:r w:rsidRPr="003A2BEE">
        <w:rPr>
          <w:sz w:val="24"/>
        </w:rPr>
        <w:t xml:space="preserve"> </w:t>
      </w:r>
      <w:r w:rsidR="005C2DD1" w:rsidRPr="003A2BEE">
        <w:rPr>
          <w:sz w:val="24"/>
        </w:rPr>
        <w:t>Therefore, the Board recommends against correcting the applicant’s records.</w:t>
      </w:r>
    </w:p>
    <w:p w14:paraId="4EEC8B2F" w14:textId="77777777" w:rsidR="00BB4AAC" w:rsidRPr="003A2BEE" w:rsidRDefault="00BB4AAC" w:rsidP="00854941">
      <w:pPr>
        <w:rPr>
          <w:sz w:val="24"/>
        </w:rPr>
      </w:pPr>
    </w:p>
    <w:p w14:paraId="064238B7" w14:textId="49A8A2BF" w:rsidR="00686034" w:rsidRPr="003A2BEE" w:rsidRDefault="00686034" w:rsidP="00854941">
      <w:pPr>
        <w:rPr>
          <w:sz w:val="24"/>
        </w:rPr>
      </w:pPr>
      <w:r w:rsidRPr="003A2BEE">
        <w:rPr>
          <w:sz w:val="24"/>
        </w:rPr>
        <w:t>4.</w:t>
      </w:r>
      <w:r w:rsidR="00CD5D4D" w:rsidRPr="003A2BEE">
        <w:rPr>
          <w:sz w:val="24"/>
        </w:rPr>
        <w:t>  </w:t>
      </w:r>
      <w:r w:rsidRPr="003A2BEE">
        <w:rPr>
          <w:sz w:val="24"/>
        </w:rPr>
        <w:t xml:space="preserve">The </w:t>
      </w:r>
      <w:r w:rsidR="00E5314D" w:rsidRPr="003A2BEE">
        <w:rPr>
          <w:sz w:val="24"/>
        </w:rPr>
        <w:t>applicant</w:t>
      </w:r>
      <w:r w:rsidRPr="003A2BEE">
        <w:rPr>
          <w:sz w:val="24"/>
        </w:rPr>
        <w:t xml:space="preserve">’s case is adequately documented and it has not been shown that a personal appearance with or without counsel will materially add to </w:t>
      </w:r>
      <w:r w:rsidR="004650F6" w:rsidRPr="003A2BEE">
        <w:rPr>
          <w:sz w:val="24"/>
        </w:rPr>
        <w:t>the Board’s</w:t>
      </w:r>
      <w:r w:rsidRPr="003A2BEE">
        <w:rPr>
          <w:sz w:val="24"/>
        </w:rPr>
        <w:t xml:space="preserve"> understanding of the issues involved.</w:t>
      </w:r>
    </w:p>
    <w:p w14:paraId="35868418" w14:textId="77777777" w:rsidR="006815AB" w:rsidRPr="003A2BEE" w:rsidRDefault="006815AB" w:rsidP="00854941">
      <w:pPr>
        <w:rPr>
          <w:sz w:val="24"/>
        </w:rPr>
      </w:pPr>
    </w:p>
    <w:p w14:paraId="0A56C775" w14:textId="56DC431D" w:rsidR="008359BA" w:rsidRPr="003A2BEE" w:rsidRDefault="00CD5D4D" w:rsidP="00854941">
      <w:pPr>
        <w:keepNext/>
        <w:rPr>
          <w:sz w:val="24"/>
        </w:rPr>
      </w:pPr>
      <w:r w:rsidRPr="003A2BEE">
        <w:rPr>
          <w:b/>
          <w:sz w:val="24"/>
        </w:rPr>
        <w:t>THE BOARD RECOMMENDS THAT:</w:t>
      </w:r>
    </w:p>
    <w:p w14:paraId="18F4A8C2" w14:textId="77777777" w:rsidR="008359BA" w:rsidRPr="003A2BEE" w:rsidRDefault="008359BA" w:rsidP="00854941">
      <w:pPr>
        <w:keepNext/>
        <w:rPr>
          <w:sz w:val="24"/>
        </w:rPr>
      </w:pPr>
    </w:p>
    <w:p w14:paraId="0EF49324" w14:textId="77777777" w:rsidR="007D6543" w:rsidRPr="003A2BEE" w:rsidRDefault="00CD5D4D" w:rsidP="00854941">
      <w:pPr>
        <w:keepNext/>
        <w:rPr>
          <w:sz w:val="24"/>
        </w:rPr>
      </w:pPr>
      <w:proofErr w:type="gramStart"/>
      <w:r w:rsidRPr="003A2BEE">
        <w:rPr>
          <w:sz w:val="24"/>
        </w:rPr>
        <w:t>The</w:t>
      </w:r>
      <w:r w:rsidR="00B31750" w:rsidRPr="003A2BEE">
        <w:rPr>
          <w:sz w:val="24"/>
        </w:rPr>
        <w:t xml:space="preserve"> applicant</w:t>
      </w:r>
      <w:r w:rsidR="009A0219" w:rsidRPr="003A2BEE">
        <w:rPr>
          <w:sz w:val="24"/>
        </w:rPr>
        <w:t xml:space="preserve"> be informed</w:t>
      </w:r>
      <w:proofErr w:type="gramEnd"/>
      <w:r w:rsidR="009A0219" w:rsidRPr="003A2BEE">
        <w:rPr>
          <w:sz w:val="24"/>
        </w:rPr>
        <w:t xml:space="preserve"> the evidence did not demonstrate material error or injustice</w:t>
      </w:r>
      <w:r w:rsidR="009C0FF9" w:rsidRPr="003A2BEE">
        <w:rPr>
          <w:sz w:val="24"/>
        </w:rPr>
        <w:t>,</w:t>
      </w:r>
      <w:r w:rsidR="009A0219" w:rsidRPr="003A2BEE">
        <w:rPr>
          <w:sz w:val="24"/>
        </w:rPr>
        <w:t xml:space="preserve"> and the application will only be reconsidered upon receipt of relevant evidence not already considered by the Board.</w:t>
      </w:r>
    </w:p>
    <w:p w14:paraId="1A4F2DB8" w14:textId="77777777" w:rsidR="007D6543" w:rsidRPr="003A2BEE" w:rsidRDefault="007D6543" w:rsidP="00854941">
      <w:pPr>
        <w:rPr>
          <w:sz w:val="24"/>
        </w:rPr>
      </w:pPr>
    </w:p>
    <w:p w14:paraId="414FB132" w14:textId="512E8438" w:rsidR="009A0219" w:rsidRPr="00791FE4" w:rsidRDefault="009C0FF9" w:rsidP="00854941">
      <w:pPr>
        <w:rPr>
          <w:sz w:val="24"/>
        </w:rPr>
      </w:pPr>
      <w:r w:rsidRPr="003A2BEE">
        <w:rPr>
          <w:sz w:val="24"/>
        </w:rPr>
        <w:t xml:space="preserve">The application </w:t>
      </w:r>
      <w:proofErr w:type="gramStart"/>
      <w:r w:rsidRPr="003A2BEE">
        <w:rPr>
          <w:sz w:val="24"/>
        </w:rPr>
        <w:t xml:space="preserve">was </w:t>
      </w:r>
      <w:r w:rsidR="00EC5D98" w:rsidRPr="003A2BEE">
        <w:rPr>
          <w:sz w:val="24"/>
        </w:rPr>
        <w:t>adjudicated</w:t>
      </w:r>
      <w:proofErr w:type="gramEnd"/>
      <w:r w:rsidRPr="003A2BEE">
        <w:rPr>
          <w:sz w:val="24"/>
        </w:rPr>
        <w:t xml:space="preserve"> without a personal appearance.</w:t>
      </w:r>
    </w:p>
    <w:p w14:paraId="294DA741" w14:textId="0405A489" w:rsidR="009A0219" w:rsidRPr="00791FE4" w:rsidRDefault="009A0219" w:rsidP="00854941">
      <w:pPr>
        <w:tabs>
          <w:tab w:val="clear" w:pos="720"/>
          <w:tab w:val="left" w:pos="1468"/>
        </w:tabs>
        <w:rPr>
          <w:sz w:val="24"/>
        </w:rPr>
      </w:pPr>
    </w:p>
    <w:p w14:paraId="59665AA1" w14:textId="38081DB4" w:rsidR="008359BA" w:rsidRPr="00791FE4" w:rsidRDefault="00FF6214" w:rsidP="00854941">
      <w:pPr>
        <w:keepNext/>
        <w:rPr>
          <w:sz w:val="24"/>
        </w:rPr>
      </w:pPr>
      <w:r w:rsidRPr="00791FE4">
        <w:rPr>
          <w:b/>
          <w:sz w:val="24"/>
        </w:rPr>
        <w:t>CERTIFICATION:</w:t>
      </w:r>
    </w:p>
    <w:p w14:paraId="5CB22157" w14:textId="77777777" w:rsidR="008359BA" w:rsidRPr="00791FE4" w:rsidRDefault="008359BA" w:rsidP="00854941">
      <w:pPr>
        <w:keepNext/>
        <w:rPr>
          <w:sz w:val="24"/>
        </w:rPr>
      </w:pPr>
    </w:p>
    <w:p w14:paraId="73573E0F" w14:textId="6D64B0E3" w:rsidR="00FF6214" w:rsidRPr="00791FE4" w:rsidRDefault="00FF6214" w:rsidP="00854941">
      <w:pPr>
        <w:keepNext/>
        <w:rPr>
          <w:rFonts w:eastAsia="Calibri"/>
          <w:bCs/>
          <w:sz w:val="24"/>
        </w:rPr>
      </w:pPr>
      <w:r w:rsidRPr="00791FE4">
        <w:rPr>
          <w:rFonts w:eastAsia="Calibri"/>
          <w:sz w:val="24"/>
        </w:rPr>
        <w:t xml:space="preserve">The following quorum of the Board, as defined in Air Force Instruction (AFI) 36-2603, </w:t>
      </w:r>
      <w:r w:rsidRPr="00791FE4">
        <w:rPr>
          <w:rFonts w:eastAsia="Calibri"/>
          <w:i/>
          <w:sz w:val="24"/>
        </w:rPr>
        <w:t>Air Force Board for Correction of Military Records (AFBCMR)</w:t>
      </w:r>
      <w:r w:rsidRPr="00791FE4">
        <w:rPr>
          <w:rFonts w:eastAsia="Calibri"/>
          <w:sz w:val="24"/>
        </w:rPr>
        <w:t>, paragraph 1.5, considered Docket Number</w:t>
      </w:r>
      <w:r w:rsidRPr="00791FE4">
        <w:rPr>
          <w:rFonts w:eastAsia="Calibri"/>
          <w:bCs/>
          <w:noProof/>
          <w:sz w:val="24"/>
        </w:rPr>
        <w:t xml:space="preserve"> </w:t>
      </w:r>
      <w:r w:rsidR="0088677E" w:rsidRPr="00D91040">
        <w:rPr>
          <w:sz w:val="24"/>
        </w:rPr>
        <w:t>BC-2017-0</w:t>
      </w:r>
      <w:r w:rsidR="002C455A">
        <w:rPr>
          <w:sz w:val="24"/>
        </w:rPr>
        <w:t>2286</w:t>
      </w:r>
      <w:r w:rsidRPr="00791FE4">
        <w:rPr>
          <w:rFonts w:eastAsia="Calibri"/>
          <w:bCs/>
          <w:sz w:val="24"/>
        </w:rPr>
        <w:t xml:space="preserve"> </w:t>
      </w:r>
      <w:r w:rsidRPr="00791FE4">
        <w:rPr>
          <w:rFonts w:eastAsia="Calibri"/>
          <w:sz w:val="24"/>
        </w:rPr>
        <w:t xml:space="preserve">in Executive Session on </w:t>
      </w:r>
      <w:r w:rsidR="003A2BEE">
        <w:rPr>
          <w:rFonts w:eastAsia="Calibri"/>
          <w:sz w:val="24"/>
        </w:rPr>
        <w:t>25 Apr 18</w:t>
      </w:r>
      <w:r w:rsidRPr="00791FE4">
        <w:rPr>
          <w:rFonts w:eastAsia="Calibri"/>
          <w:sz w:val="24"/>
        </w:rPr>
        <w:t>:</w:t>
      </w:r>
    </w:p>
    <w:p w14:paraId="74F4A940" w14:textId="77777777" w:rsidR="00FF6214" w:rsidRPr="00791FE4" w:rsidRDefault="00FF6214" w:rsidP="00854941">
      <w:pPr>
        <w:rPr>
          <w:rFonts w:eastAsia="Calibri"/>
          <w:sz w:val="24"/>
        </w:rPr>
      </w:pPr>
    </w:p>
    <w:p w14:paraId="71AC5F32" w14:textId="3B44DE10" w:rsidR="00623A80" w:rsidRPr="00791FE4" w:rsidRDefault="00623A80" w:rsidP="00623A80">
      <w:pPr>
        <w:tabs>
          <w:tab w:val="clear" w:pos="720"/>
        </w:tabs>
        <w:spacing w:line="240" w:lineRule="auto"/>
        <w:ind w:left="1440" w:hanging="720"/>
        <w:rPr>
          <w:rFonts w:eastAsia="Calibri"/>
          <w:sz w:val="24"/>
        </w:rPr>
      </w:pPr>
      <w:r w:rsidRPr="00791FE4">
        <w:rPr>
          <w:rFonts w:eastAsia="Calibri"/>
          <w:sz w:val="24"/>
        </w:rPr>
        <w:t xml:space="preserve">, Panel Chair </w:t>
      </w:r>
    </w:p>
    <w:p w14:paraId="7CCCFBF8" w14:textId="5C07F0D0" w:rsidR="00623A80" w:rsidRPr="00791FE4" w:rsidRDefault="00623A80" w:rsidP="00623A80">
      <w:pPr>
        <w:tabs>
          <w:tab w:val="clear" w:pos="720"/>
        </w:tabs>
        <w:spacing w:line="240" w:lineRule="auto"/>
        <w:ind w:left="1440" w:hanging="720"/>
        <w:rPr>
          <w:rFonts w:eastAsia="Calibri"/>
          <w:sz w:val="24"/>
        </w:rPr>
      </w:pPr>
      <w:r w:rsidRPr="00791FE4">
        <w:rPr>
          <w:rFonts w:eastAsia="Calibri"/>
          <w:sz w:val="24"/>
        </w:rPr>
        <w:t>, Panel Member</w:t>
      </w:r>
    </w:p>
    <w:p w14:paraId="5EEB4E35" w14:textId="37AE5612" w:rsidR="00623A80" w:rsidRPr="00791FE4" w:rsidRDefault="00623A80" w:rsidP="00623A80">
      <w:pPr>
        <w:tabs>
          <w:tab w:val="clear" w:pos="720"/>
        </w:tabs>
        <w:spacing w:line="240" w:lineRule="auto"/>
        <w:ind w:left="1440" w:hanging="720"/>
        <w:rPr>
          <w:rFonts w:eastAsia="Calibri"/>
          <w:sz w:val="24"/>
        </w:rPr>
      </w:pPr>
      <w:r w:rsidRPr="00791FE4">
        <w:rPr>
          <w:rFonts w:eastAsia="Calibri"/>
          <w:sz w:val="24"/>
        </w:rPr>
        <w:t>, Panel Member</w:t>
      </w:r>
    </w:p>
    <w:p w14:paraId="04241D80" w14:textId="77777777" w:rsidR="00623A80" w:rsidRDefault="00623A80" w:rsidP="00854941">
      <w:pPr>
        <w:rPr>
          <w:rFonts w:eastAsia="Calibri"/>
          <w:sz w:val="24"/>
        </w:rPr>
      </w:pPr>
    </w:p>
    <w:p w14:paraId="5C0B71BC" w14:textId="77A60C75" w:rsidR="00201CCE" w:rsidRPr="00791FE4" w:rsidRDefault="00201CCE" w:rsidP="00854941">
      <w:pPr>
        <w:rPr>
          <w:rFonts w:eastAsia="Calibri"/>
          <w:sz w:val="24"/>
        </w:rPr>
      </w:pPr>
      <w:r w:rsidRPr="00791FE4">
        <w:rPr>
          <w:rFonts w:eastAsia="Calibri"/>
          <w:sz w:val="24"/>
        </w:rPr>
        <w:t>All members voted not to correct the record.  The panel considered the following:</w:t>
      </w:r>
    </w:p>
    <w:p w14:paraId="0AFD6263" w14:textId="77777777" w:rsidR="00FF6214" w:rsidRPr="00791FE4" w:rsidRDefault="00FF6214" w:rsidP="00854941">
      <w:pPr>
        <w:rPr>
          <w:rFonts w:eastAsia="Calibri"/>
          <w:sz w:val="24"/>
        </w:rPr>
      </w:pPr>
    </w:p>
    <w:p w14:paraId="35B42E3B" w14:textId="33141CDD" w:rsidR="00FF6214" w:rsidRPr="00791FE4" w:rsidRDefault="00FF6214" w:rsidP="00854941">
      <w:pPr>
        <w:tabs>
          <w:tab w:val="clear" w:pos="720"/>
          <w:tab w:val="left" w:pos="1800"/>
        </w:tabs>
        <w:ind w:left="1440" w:hanging="720"/>
        <w:rPr>
          <w:rFonts w:eastAsia="Calibri"/>
          <w:sz w:val="24"/>
        </w:rPr>
      </w:pPr>
      <w:r w:rsidRPr="00791FE4">
        <w:rPr>
          <w:rFonts w:eastAsia="Calibri"/>
          <w:sz w:val="24"/>
        </w:rPr>
        <w:t>Exhibit A:</w:t>
      </w:r>
      <w:r w:rsidRPr="00791FE4">
        <w:rPr>
          <w:rFonts w:eastAsia="Calibri"/>
          <w:sz w:val="24"/>
        </w:rPr>
        <w:tab/>
        <w:t>Application, DD Form 149, w/</w:t>
      </w:r>
      <w:proofErr w:type="spellStart"/>
      <w:r w:rsidRPr="00791FE4">
        <w:rPr>
          <w:rFonts w:eastAsia="Calibri"/>
          <w:sz w:val="24"/>
        </w:rPr>
        <w:t>atchs</w:t>
      </w:r>
      <w:proofErr w:type="spellEnd"/>
      <w:r w:rsidRPr="00791FE4">
        <w:rPr>
          <w:rFonts w:eastAsia="Calibri"/>
          <w:sz w:val="24"/>
        </w:rPr>
        <w:t xml:space="preserve">, dated </w:t>
      </w:r>
      <w:r w:rsidR="003A2BEE">
        <w:rPr>
          <w:rFonts w:eastAsia="Calibri"/>
          <w:sz w:val="24"/>
        </w:rPr>
        <w:t>20 Apr 17</w:t>
      </w:r>
      <w:r w:rsidRPr="00791FE4">
        <w:rPr>
          <w:rFonts w:eastAsia="Calibri"/>
          <w:sz w:val="24"/>
        </w:rPr>
        <w:t>.</w:t>
      </w:r>
    </w:p>
    <w:p w14:paraId="5C5E6519" w14:textId="1300FDAB" w:rsidR="00FF6214" w:rsidRPr="00791FE4" w:rsidRDefault="00FF6214" w:rsidP="00854941">
      <w:pPr>
        <w:tabs>
          <w:tab w:val="clear" w:pos="720"/>
          <w:tab w:val="left" w:pos="1800"/>
        </w:tabs>
        <w:ind w:left="1440" w:hanging="720"/>
        <w:rPr>
          <w:rFonts w:eastAsia="Calibri"/>
          <w:sz w:val="24"/>
        </w:rPr>
      </w:pPr>
      <w:r w:rsidRPr="00791FE4">
        <w:rPr>
          <w:rFonts w:eastAsia="Calibri"/>
          <w:sz w:val="24"/>
        </w:rPr>
        <w:t>Exhibit B:</w:t>
      </w:r>
      <w:r w:rsidRPr="00791FE4">
        <w:rPr>
          <w:rFonts w:eastAsia="Calibri"/>
          <w:sz w:val="24"/>
        </w:rPr>
        <w:tab/>
        <w:t xml:space="preserve">Documentary evidence, including </w:t>
      </w:r>
      <w:r w:rsidR="0028437B">
        <w:rPr>
          <w:rFonts w:eastAsia="Calibri"/>
          <w:sz w:val="24"/>
        </w:rPr>
        <w:t xml:space="preserve">relevant </w:t>
      </w:r>
      <w:r w:rsidRPr="00791FE4">
        <w:rPr>
          <w:rFonts w:eastAsia="Calibri"/>
          <w:sz w:val="24"/>
        </w:rPr>
        <w:t>excerpts from official records.</w:t>
      </w:r>
    </w:p>
    <w:p w14:paraId="2C595DDA" w14:textId="05C99AF3" w:rsidR="00FF6214" w:rsidRPr="00791FE4" w:rsidRDefault="00FF6214" w:rsidP="00854941">
      <w:pPr>
        <w:tabs>
          <w:tab w:val="clear" w:pos="720"/>
          <w:tab w:val="left" w:pos="1800"/>
        </w:tabs>
        <w:ind w:left="1440" w:hanging="720"/>
        <w:rPr>
          <w:rFonts w:eastAsia="Calibri"/>
          <w:sz w:val="24"/>
        </w:rPr>
      </w:pPr>
      <w:r w:rsidRPr="00791FE4">
        <w:rPr>
          <w:rFonts w:eastAsia="Calibri"/>
          <w:sz w:val="24"/>
        </w:rPr>
        <w:t>Exhibit C:</w:t>
      </w:r>
      <w:r w:rsidRPr="00791FE4">
        <w:rPr>
          <w:rFonts w:eastAsia="Calibri"/>
          <w:sz w:val="24"/>
        </w:rPr>
        <w:tab/>
        <w:t xml:space="preserve">Advisory opinion, </w:t>
      </w:r>
      <w:r w:rsidR="003A2BEE">
        <w:rPr>
          <w:rFonts w:eastAsia="Calibri"/>
          <w:sz w:val="24"/>
        </w:rPr>
        <w:t>ARPC/PB</w:t>
      </w:r>
      <w:r w:rsidRPr="00791FE4">
        <w:rPr>
          <w:rFonts w:eastAsia="Calibri"/>
          <w:sz w:val="24"/>
        </w:rPr>
        <w:t xml:space="preserve">, dated </w:t>
      </w:r>
      <w:r w:rsidR="003A2BEE">
        <w:rPr>
          <w:rFonts w:eastAsia="Calibri"/>
          <w:sz w:val="24"/>
        </w:rPr>
        <w:t>11 Jan 18</w:t>
      </w:r>
      <w:r w:rsidRPr="00791FE4">
        <w:rPr>
          <w:rFonts w:eastAsia="Calibri"/>
          <w:sz w:val="24"/>
        </w:rPr>
        <w:t>.</w:t>
      </w:r>
    </w:p>
    <w:p w14:paraId="7B725201" w14:textId="3E68A4E9" w:rsidR="00FF6214" w:rsidRPr="00791FE4" w:rsidRDefault="00FF6214" w:rsidP="00854941">
      <w:pPr>
        <w:tabs>
          <w:tab w:val="clear" w:pos="720"/>
          <w:tab w:val="left" w:pos="1800"/>
        </w:tabs>
        <w:ind w:left="1440" w:hanging="720"/>
        <w:rPr>
          <w:rFonts w:eastAsia="Calibri"/>
          <w:sz w:val="24"/>
        </w:rPr>
      </w:pPr>
      <w:r w:rsidRPr="00791FE4">
        <w:rPr>
          <w:rFonts w:eastAsia="Calibri"/>
          <w:sz w:val="24"/>
        </w:rPr>
        <w:lastRenderedPageBreak/>
        <w:t>Exhibit D:</w:t>
      </w:r>
      <w:r w:rsidRPr="00791FE4">
        <w:rPr>
          <w:rFonts w:eastAsia="Calibri"/>
          <w:sz w:val="24"/>
        </w:rPr>
        <w:tab/>
        <w:t xml:space="preserve">Notification of Advisory, SAF/MRBC to applicant, dated </w:t>
      </w:r>
      <w:r w:rsidR="003A2BEE">
        <w:rPr>
          <w:rFonts w:eastAsia="Calibri"/>
          <w:sz w:val="24"/>
        </w:rPr>
        <w:t>8 Mar 18</w:t>
      </w:r>
      <w:r w:rsidRPr="00791FE4">
        <w:rPr>
          <w:rFonts w:eastAsia="Calibri"/>
          <w:sz w:val="24"/>
        </w:rPr>
        <w:t>.</w:t>
      </w:r>
    </w:p>
    <w:p w14:paraId="34CA6643" w14:textId="77777777" w:rsidR="00133C2C" w:rsidRPr="00791FE4" w:rsidRDefault="00133C2C" w:rsidP="00854941">
      <w:pPr>
        <w:rPr>
          <w:rFonts w:eastAsia="Calibri"/>
          <w:sz w:val="24"/>
        </w:rPr>
      </w:pPr>
    </w:p>
    <w:p w14:paraId="6FEEBCB5" w14:textId="1E62CA42" w:rsidR="00133C2C" w:rsidRPr="00791FE4" w:rsidRDefault="00133C2C" w:rsidP="00854941">
      <w:r w:rsidRPr="00791FE4">
        <w:rPr>
          <w:rFonts w:eastAsia="Calibri"/>
          <w:sz w:val="24"/>
        </w:rPr>
        <w:t>Taken together with all Exhibits, this document constitutes the true and complete Record of Proceedings required by AFI 36-2603, paragraph 4.11.9</w:t>
      </w:r>
      <w:r w:rsidR="002C455A">
        <w:rPr>
          <w:rFonts w:eastAsia="Calibri"/>
          <w:sz w:val="24"/>
        </w:rPr>
        <w:t xml:space="preserve"> pertaining to Docket Number BC-2017-02286</w:t>
      </w:r>
      <w:r w:rsidRPr="00791FE4">
        <w:rPr>
          <w:rFonts w:eastAsia="Calibri"/>
          <w:sz w:val="24"/>
        </w:rPr>
        <w:t>.</w:t>
      </w:r>
      <w:bookmarkStart w:id="0" w:name="_GoBack"/>
      <w:bookmarkEnd w:id="0"/>
    </w:p>
    <w:p w14:paraId="0E7CA5B5" w14:textId="77777777" w:rsidR="00E74F1E" w:rsidRPr="00791FE4" w:rsidRDefault="00E74F1E" w:rsidP="00876839">
      <w:pPr>
        <w:spacing w:line="240" w:lineRule="auto"/>
        <w:rPr>
          <w:rFonts w:eastAsia="Calibri"/>
          <w:sz w:val="24"/>
        </w:rPr>
      </w:pPr>
    </w:p>
    <w:sectPr w:rsidR="00E74F1E" w:rsidRPr="00791FE4" w:rsidSect="00C85154">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oddPage"/>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41A1" w14:textId="77777777" w:rsidR="00061916" w:rsidRDefault="00061916" w:rsidP="003220FE">
      <w:r>
        <w:separator/>
      </w:r>
    </w:p>
  </w:endnote>
  <w:endnote w:type="continuationSeparator" w:id="0">
    <w:p w14:paraId="5CE35E16" w14:textId="77777777" w:rsidR="00061916" w:rsidRDefault="00061916" w:rsidP="003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933A" w14:textId="77777777" w:rsidR="00D56A68" w:rsidRPr="0092671B" w:rsidRDefault="00D56A68" w:rsidP="0092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920C" w14:textId="5C34933D" w:rsidR="00AE44DB" w:rsidRPr="0092671B" w:rsidRDefault="00AE44DB" w:rsidP="0092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880BF" w14:textId="77777777" w:rsidR="0092671B" w:rsidRDefault="0092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12417" w14:textId="77777777" w:rsidR="00061916" w:rsidRDefault="00061916" w:rsidP="003220FE">
      <w:r>
        <w:separator/>
      </w:r>
    </w:p>
  </w:footnote>
  <w:footnote w:type="continuationSeparator" w:id="0">
    <w:p w14:paraId="31D5F6D2" w14:textId="77777777" w:rsidR="00061916" w:rsidRDefault="00061916" w:rsidP="0032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6825" w14:textId="77777777" w:rsidR="0092671B" w:rsidRDefault="00926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27D4" w14:textId="77777777" w:rsidR="0092671B" w:rsidRDefault="00926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607A" w14:textId="0C5D3982" w:rsidR="00730D8B" w:rsidRPr="0092671B" w:rsidRDefault="00730D8B" w:rsidP="0092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938D7"/>
    <w:multiLevelType w:val="hybridMultilevel"/>
    <w:tmpl w:val="733A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A6"/>
    <w:rsid w:val="000152BD"/>
    <w:rsid w:val="0002239B"/>
    <w:rsid w:val="0003058A"/>
    <w:rsid w:val="00031A76"/>
    <w:rsid w:val="000353C2"/>
    <w:rsid w:val="00044AEB"/>
    <w:rsid w:val="0004686B"/>
    <w:rsid w:val="00047F73"/>
    <w:rsid w:val="00061916"/>
    <w:rsid w:val="0006747D"/>
    <w:rsid w:val="00067A3D"/>
    <w:rsid w:val="0007689C"/>
    <w:rsid w:val="00076A32"/>
    <w:rsid w:val="00081003"/>
    <w:rsid w:val="000813D2"/>
    <w:rsid w:val="000A4000"/>
    <w:rsid w:val="000B1925"/>
    <w:rsid w:val="000B1CD1"/>
    <w:rsid w:val="000C1C7D"/>
    <w:rsid w:val="000D5547"/>
    <w:rsid w:val="000D5BEE"/>
    <w:rsid w:val="000E7895"/>
    <w:rsid w:val="000F2210"/>
    <w:rsid w:val="001117BA"/>
    <w:rsid w:val="00116937"/>
    <w:rsid w:val="00117B71"/>
    <w:rsid w:val="0012280F"/>
    <w:rsid w:val="0012657B"/>
    <w:rsid w:val="00132C16"/>
    <w:rsid w:val="00133C2C"/>
    <w:rsid w:val="00141BC0"/>
    <w:rsid w:val="00145258"/>
    <w:rsid w:val="00154316"/>
    <w:rsid w:val="001546A0"/>
    <w:rsid w:val="001575A6"/>
    <w:rsid w:val="00182490"/>
    <w:rsid w:val="00182873"/>
    <w:rsid w:val="00191AF5"/>
    <w:rsid w:val="001928D8"/>
    <w:rsid w:val="00193311"/>
    <w:rsid w:val="00193731"/>
    <w:rsid w:val="001A2434"/>
    <w:rsid w:val="001A4B4A"/>
    <w:rsid w:val="001B192B"/>
    <w:rsid w:val="001B3512"/>
    <w:rsid w:val="001C2F5F"/>
    <w:rsid w:val="001C6B5B"/>
    <w:rsid w:val="001D3856"/>
    <w:rsid w:val="001E30E4"/>
    <w:rsid w:val="001F21B4"/>
    <w:rsid w:val="001F30F8"/>
    <w:rsid w:val="002010C8"/>
    <w:rsid w:val="00201A82"/>
    <w:rsid w:val="00201CCE"/>
    <w:rsid w:val="002258C5"/>
    <w:rsid w:val="00243ACC"/>
    <w:rsid w:val="00244807"/>
    <w:rsid w:val="00247594"/>
    <w:rsid w:val="0026413E"/>
    <w:rsid w:val="0026676A"/>
    <w:rsid w:val="002667AE"/>
    <w:rsid w:val="002702FD"/>
    <w:rsid w:val="00281E36"/>
    <w:rsid w:val="00282FCC"/>
    <w:rsid w:val="002830A7"/>
    <w:rsid w:val="00283732"/>
    <w:rsid w:val="0028437B"/>
    <w:rsid w:val="002935DD"/>
    <w:rsid w:val="00293DCE"/>
    <w:rsid w:val="00296D70"/>
    <w:rsid w:val="002975CC"/>
    <w:rsid w:val="002A0AA2"/>
    <w:rsid w:val="002B14A8"/>
    <w:rsid w:val="002B1FF8"/>
    <w:rsid w:val="002B4C9F"/>
    <w:rsid w:val="002C1F2A"/>
    <w:rsid w:val="002C455A"/>
    <w:rsid w:val="002E10F8"/>
    <w:rsid w:val="002E4920"/>
    <w:rsid w:val="002E4F7E"/>
    <w:rsid w:val="002F4E9B"/>
    <w:rsid w:val="00300844"/>
    <w:rsid w:val="00302512"/>
    <w:rsid w:val="00316A9C"/>
    <w:rsid w:val="00316C45"/>
    <w:rsid w:val="00320CC4"/>
    <w:rsid w:val="003220FE"/>
    <w:rsid w:val="003257E1"/>
    <w:rsid w:val="0033024D"/>
    <w:rsid w:val="00342948"/>
    <w:rsid w:val="00346709"/>
    <w:rsid w:val="003550E5"/>
    <w:rsid w:val="0035528D"/>
    <w:rsid w:val="00357F60"/>
    <w:rsid w:val="00366E20"/>
    <w:rsid w:val="003734BF"/>
    <w:rsid w:val="00373F07"/>
    <w:rsid w:val="00381670"/>
    <w:rsid w:val="003919B0"/>
    <w:rsid w:val="00396558"/>
    <w:rsid w:val="003A2BEE"/>
    <w:rsid w:val="003A558F"/>
    <w:rsid w:val="003A62C3"/>
    <w:rsid w:val="003A6E73"/>
    <w:rsid w:val="003B5986"/>
    <w:rsid w:val="003D3776"/>
    <w:rsid w:val="003D65E7"/>
    <w:rsid w:val="003D7222"/>
    <w:rsid w:val="003F0DC0"/>
    <w:rsid w:val="003F116F"/>
    <w:rsid w:val="003F4898"/>
    <w:rsid w:val="003F493C"/>
    <w:rsid w:val="003F6668"/>
    <w:rsid w:val="00400A13"/>
    <w:rsid w:val="004021D9"/>
    <w:rsid w:val="0040650A"/>
    <w:rsid w:val="00406D0C"/>
    <w:rsid w:val="00406E1B"/>
    <w:rsid w:val="00414D03"/>
    <w:rsid w:val="004158BA"/>
    <w:rsid w:val="00422C8C"/>
    <w:rsid w:val="004353A0"/>
    <w:rsid w:val="00447790"/>
    <w:rsid w:val="00460CAD"/>
    <w:rsid w:val="004650F6"/>
    <w:rsid w:val="00470987"/>
    <w:rsid w:val="00473EFF"/>
    <w:rsid w:val="00475B4D"/>
    <w:rsid w:val="00481470"/>
    <w:rsid w:val="00482217"/>
    <w:rsid w:val="004B2A85"/>
    <w:rsid w:val="004B502E"/>
    <w:rsid w:val="004D54C9"/>
    <w:rsid w:val="004F2705"/>
    <w:rsid w:val="00506C5A"/>
    <w:rsid w:val="00511AA0"/>
    <w:rsid w:val="005125DF"/>
    <w:rsid w:val="005216BF"/>
    <w:rsid w:val="005234A3"/>
    <w:rsid w:val="00527BA1"/>
    <w:rsid w:val="00535159"/>
    <w:rsid w:val="00540CE1"/>
    <w:rsid w:val="00543D5B"/>
    <w:rsid w:val="005440B3"/>
    <w:rsid w:val="005447D8"/>
    <w:rsid w:val="00545D73"/>
    <w:rsid w:val="00563606"/>
    <w:rsid w:val="0056455C"/>
    <w:rsid w:val="00583145"/>
    <w:rsid w:val="005A2175"/>
    <w:rsid w:val="005A345D"/>
    <w:rsid w:val="005A3A76"/>
    <w:rsid w:val="005A74C4"/>
    <w:rsid w:val="005B2D84"/>
    <w:rsid w:val="005B30AB"/>
    <w:rsid w:val="005C2DD1"/>
    <w:rsid w:val="005E2D5D"/>
    <w:rsid w:val="006207B2"/>
    <w:rsid w:val="006210C5"/>
    <w:rsid w:val="00623A80"/>
    <w:rsid w:val="006306D5"/>
    <w:rsid w:val="00635AB1"/>
    <w:rsid w:val="0063642C"/>
    <w:rsid w:val="006461E3"/>
    <w:rsid w:val="00646CDD"/>
    <w:rsid w:val="00654288"/>
    <w:rsid w:val="00655818"/>
    <w:rsid w:val="00660E33"/>
    <w:rsid w:val="0066400A"/>
    <w:rsid w:val="00672E75"/>
    <w:rsid w:val="006815AB"/>
    <w:rsid w:val="006822C5"/>
    <w:rsid w:val="00686034"/>
    <w:rsid w:val="00694D50"/>
    <w:rsid w:val="006A0B38"/>
    <w:rsid w:val="006A5814"/>
    <w:rsid w:val="006B768A"/>
    <w:rsid w:val="006D4C89"/>
    <w:rsid w:val="006D4DAC"/>
    <w:rsid w:val="006E1CE9"/>
    <w:rsid w:val="00730D8B"/>
    <w:rsid w:val="0074037F"/>
    <w:rsid w:val="00754DFD"/>
    <w:rsid w:val="007602EC"/>
    <w:rsid w:val="0077332B"/>
    <w:rsid w:val="007762ED"/>
    <w:rsid w:val="00781D8B"/>
    <w:rsid w:val="00791FE4"/>
    <w:rsid w:val="00792A51"/>
    <w:rsid w:val="0079449A"/>
    <w:rsid w:val="007A2180"/>
    <w:rsid w:val="007A5929"/>
    <w:rsid w:val="007A778B"/>
    <w:rsid w:val="007B5336"/>
    <w:rsid w:val="007C127A"/>
    <w:rsid w:val="007C2DB7"/>
    <w:rsid w:val="007C3B41"/>
    <w:rsid w:val="007C5722"/>
    <w:rsid w:val="007D01F3"/>
    <w:rsid w:val="007D1574"/>
    <w:rsid w:val="007D407F"/>
    <w:rsid w:val="007D4499"/>
    <w:rsid w:val="007D6543"/>
    <w:rsid w:val="007F16C8"/>
    <w:rsid w:val="007F67BE"/>
    <w:rsid w:val="00801ADD"/>
    <w:rsid w:val="00803065"/>
    <w:rsid w:val="00804CA3"/>
    <w:rsid w:val="00805D84"/>
    <w:rsid w:val="00810E3A"/>
    <w:rsid w:val="0081794D"/>
    <w:rsid w:val="0083460A"/>
    <w:rsid w:val="00834EA9"/>
    <w:rsid w:val="008359BA"/>
    <w:rsid w:val="008368B2"/>
    <w:rsid w:val="00837218"/>
    <w:rsid w:val="00840DA6"/>
    <w:rsid w:val="00842FC1"/>
    <w:rsid w:val="00847D24"/>
    <w:rsid w:val="008501BC"/>
    <w:rsid w:val="00852222"/>
    <w:rsid w:val="00852F1D"/>
    <w:rsid w:val="00854941"/>
    <w:rsid w:val="00864583"/>
    <w:rsid w:val="00870E8E"/>
    <w:rsid w:val="0087203C"/>
    <w:rsid w:val="00876839"/>
    <w:rsid w:val="008801AA"/>
    <w:rsid w:val="0088677E"/>
    <w:rsid w:val="008A1D9A"/>
    <w:rsid w:val="008A287C"/>
    <w:rsid w:val="008A4235"/>
    <w:rsid w:val="008B610A"/>
    <w:rsid w:val="008D06BD"/>
    <w:rsid w:val="008D0B08"/>
    <w:rsid w:val="008D296C"/>
    <w:rsid w:val="008D6B73"/>
    <w:rsid w:val="008D6EA8"/>
    <w:rsid w:val="008E0726"/>
    <w:rsid w:val="008E0B82"/>
    <w:rsid w:val="008E1EBA"/>
    <w:rsid w:val="008E2A71"/>
    <w:rsid w:val="00911790"/>
    <w:rsid w:val="00914A07"/>
    <w:rsid w:val="0092671B"/>
    <w:rsid w:val="0093113A"/>
    <w:rsid w:val="009336F6"/>
    <w:rsid w:val="009341C0"/>
    <w:rsid w:val="00937F88"/>
    <w:rsid w:val="00941070"/>
    <w:rsid w:val="009428B5"/>
    <w:rsid w:val="0094451C"/>
    <w:rsid w:val="00965011"/>
    <w:rsid w:val="009718CD"/>
    <w:rsid w:val="009723AE"/>
    <w:rsid w:val="00985738"/>
    <w:rsid w:val="009870F7"/>
    <w:rsid w:val="00991CEC"/>
    <w:rsid w:val="009A0219"/>
    <w:rsid w:val="009B1EA0"/>
    <w:rsid w:val="009B71E1"/>
    <w:rsid w:val="009C0A11"/>
    <w:rsid w:val="009C0FF9"/>
    <w:rsid w:val="009C271D"/>
    <w:rsid w:val="009D3A9A"/>
    <w:rsid w:val="009E32DF"/>
    <w:rsid w:val="00A00BB0"/>
    <w:rsid w:val="00A20219"/>
    <w:rsid w:val="00A32B01"/>
    <w:rsid w:val="00A33D09"/>
    <w:rsid w:val="00A40EEE"/>
    <w:rsid w:val="00A414E6"/>
    <w:rsid w:val="00A45CB4"/>
    <w:rsid w:val="00A47F10"/>
    <w:rsid w:val="00A70EE7"/>
    <w:rsid w:val="00A72DEA"/>
    <w:rsid w:val="00A742A4"/>
    <w:rsid w:val="00A770A5"/>
    <w:rsid w:val="00A814AC"/>
    <w:rsid w:val="00A85EAF"/>
    <w:rsid w:val="00A86445"/>
    <w:rsid w:val="00A86805"/>
    <w:rsid w:val="00A90286"/>
    <w:rsid w:val="00AA57CF"/>
    <w:rsid w:val="00AA6035"/>
    <w:rsid w:val="00AB1609"/>
    <w:rsid w:val="00AB1CB7"/>
    <w:rsid w:val="00AC001A"/>
    <w:rsid w:val="00AC510E"/>
    <w:rsid w:val="00AC5484"/>
    <w:rsid w:val="00AC5CA8"/>
    <w:rsid w:val="00AD3148"/>
    <w:rsid w:val="00AD7201"/>
    <w:rsid w:val="00AE404D"/>
    <w:rsid w:val="00AE44DB"/>
    <w:rsid w:val="00B05F06"/>
    <w:rsid w:val="00B14652"/>
    <w:rsid w:val="00B16BF6"/>
    <w:rsid w:val="00B17803"/>
    <w:rsid w:val="00B300B9"/>
    <w:rsid w:val="00B3114B"/>
    <w:rsid w:val="00B31750"/>
    <w:rsid w:val="00B543D8"/>
    <w:rsid w:val="00B54D21"/>
    <w:rsid w:val="00B54E7C"/>
    <w:rsid w:val="00B56AB8"/>
    <w:rsid w:val="00B61587"/>
    <w:rsid w:val="00B61955"/>
    <w:rsid w:val="00B66E6D"/>
    <w:rsid w:val="00B7290F"/>
    <w:rsid w:val="00B770FF"/>
    <w:rsid w:val="00B87216"/>
    <w:rsid w:val="00B95EAC"/>
    <w:rsid w:val="00BA74E7"/>
    <w:rsid w:val="00BB4AAC"/>
    <w:rsid w:val="00BC2022"/>
    <w:rsid w:val="00BC283F"/>
    <w:rsid w:val="00BC6033"/>
    <w:rsid w:val="00BD522F"/>
    <w:rsid w:val="00BE07A1"/>
    <w:rsid w:val="00BE1567"/>
    <w:rsid w:val="00BE1B42"/>
    <w:rsid w:val="00BE27CB"/>
    <w:rsid w:val="00BE77F8"/>
    <w:rsid w:val="00BF21A0"/>
    <w:rsid w:val="00BF40D1"/>
    <w:rsid w:val="00C1203A"/>
    <w:rsid w:val="00C16EAC"/>
    <w:rsid w:val="00C2788C"/>
    <w:rsid w:val="00C33B94"/>
    <w:rsid w:val="00C33CBC"/>
    <w:rsid w:val="00C35E0D"/>
    <w:rsid w:val="00C361DB"/>
    <w:rsid w:val="00C36350"/>
    <w:rsid w:val="00C51CD8"/>
    <w:rsid w:val="00C5552E"/>
    <w:rsid w:val="00C55E8C"/>
    <w:rsid w:val="00C61101"/>
    <w:rsid w:val="00C72ED1"/>
    <w:rsid w:val="00C82B22"/>
    <w:rsid w:val="00C85154"/>
    <w:rsid w:val="00C876BB"/>
    <w:rsid w:val="00C91F3C"/>
    <w:rsid w:val="00C97819"/>
    <w:rsid w:val="00CA2086"/>
    <w:rsid w:val="00CB642D"/>
    <w:rsid w:val="00CC7D25"/>
    <w:rsid w:val="00CD5D4D"/>
    <w:rsid w:val="00CE545F"/>
    <w:rsid w:val="00CF76B8"/>
    <w:rsid w:val="00D01B8B"/>
    <w:rsid w:val="00D022C0"/>
    <w:rsid w:val="00D10F18"/>
    <w:rsid w:val="00D2656A"/>
    <w:rsid w:val="00D34CF3"/>
    <w:rsid w:val="00D35BD6"/>
    <w:rsid w:val="00D409B2"/>
    <w:rsid w:val="00D45BD4"/>
    <w:rsid w:val="00D549BC"/>
    <w:rsid w:val="00D55E98"/>
    <w:rsid w:val="00D56A68"/>
    <w:rsid w:val="00D57DF8"/>
    <w:rsid w:val="00D61EC8"/>
    <w:rsid w:val="00D66D9F"/>
    <w:rsid w:val="00D875C7"/>
    <w:rsid w:val="00D87AD4"/>
    <w:rsid w:val="00DA08D8"/>
    <w:rsid w:val="00DA3014"/>
    <w:rsid w:val="00DB399D"/>
    <w:rsid w:val="00DB79CA"/>
    <w:rsid w:val="00DC7069"/>
    <w:rsid w:val="00DD0B8B"/>
    <w:rsid w:val="00DD6418"/>
    <w:rsid w:val="00DF3368"/>
    <w:rsid w:val="00E3118B"/>
    <w:rsid w:val="00E43D9E"/>
    <w:rsid w:val="00E44B70"/>
    <w:rsid w:val="00E5314D"/>
    <w:rsid w:val="00E538F6"/>
    <w:rsid w:val="00E544F5"/>
    <w:rsid w:val="00E656E2"/>
    <w:rsid w:val="00E74955"/>
    <w:rsid w:val="00E74F1E"/>
    <w:rsid w:val="00E86D06"/>
    <w:rsid w:val="00EB094E"/>
    <w:rsid w:val="00EB3F1A"/>
    <w:rsid w:val="00EC5D98"/>
    <w:rsid w:val="00ED543B"/>
    <w:rsid w:val="00EE1FBC"/>
    <w:rsid w:val="00EE6032"/>
    <w:rsid w:val="00EE72DA"/>
    <w:rsid w:val="00EF6A9B"/>
    <w:rsid w:val="00F0016F"/>
    <w:rsid w:val="00F05D56"/>
    <w:rsid w:val="00F10E97"/>
    <w:rsid w:val="00F126A1"/>
    <w:rsid w:val="00F13527"/>
    <w:rsid w:val="00F215B0"/>
    <w:rsid w:val="00F43A6C"/>
    <w:rsid w:val="00F453EF"/>
    <w:rsid w:val="00F653C9"/>
    <w:rsid w:val="00F65569"/>
    <w:rsid w:val="00F67654"/>
    <w:rsid w:val="00F739E5"/>
    <w:rsid w:val="00F77BF0"/>
    <w:rsid w:val="00F863E3"/>
    <w:rsid w:val="00F925A6"/>
    <w:rsid w:val="00F97F7A"/>
    <w:rsid w:val="00FA4E62"/>
    <w:rsid w:val="00FB06C7"/>
    <w:rsid w:val="00FB7817"/>
    <w:rsid w:val="00FC0C22"/>
    <w:rsid w:val="00FC113B"/>
    <w:rsid w:val="00FC6574"/>
    <w:rsid w:val="00FD0BAF"/>
    <w:rsid w:val="00FD28E1"/>
    <w:rsid w:val="00FD7154"/>
    <w:rsid w:val="00FD7202"/>
    <w:rsid w:val="00FE54CB"/>
    <w:rsid w:val="00FF33A0"/>
    <w:rsid w:val="00FF6214"/>
    <w:rsid w:val="00FF76E0"/>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476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F9"/>
    <w:pPr>
      <w:tabs>
        <w:tab w:val="left" w:pos="720"/>
      </w:tabs>
      <w:spacing w:line="240" w:lineRule="exact"/>
      <w:jc w:val="both"/>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20FE"/>
    <w:pPr>
      <w:tabs>
        <w:tab w:val="center" w:pos="4320"/>
        <w:tab w:val="right" w:pos="8640"/>
      </w:tabs>
    </w:pPr>
    <w:rPr>
      <w:rFonts w:ascii="Arial Black" w:hAnsi="Arial Black"/>
    </w:rPr>
  </w:style>
  <w:style w:type="character" w:styleId="PageNumber">
    <w:name w:val="page number"/>
    <w:basedOn w:val="DefaultParagraphFont"/>
  </w:style>
  <w:style w:type="paragraph" w:styleId="Header">
    <w:name w:val="header"/>
    <w:basedOn w:val="Normal"/>
    <w:rsid w:val="007B5336"/>
    <w:pPr>
      <w:tabs>
        <w:tab w:val="center" w:pos="4320"/>
        <w:tab w:val="right" w:pos="8640"/>
      </w:tabs>
    </w:pPr>
    <w:rPr>
      <w:rFonts w:ascii="Arial Black" w:hAnsi="Arial Black"/>
    </w:rPr>
  </w:style>
  <w:style w:type="paragraph" w:styleId="BodyText">
    <w:name w:val="Body Text"/>
    <w:basedOn w:val="Normal"/>
    <w:pPr>
      <w:ind w:right="-360"/>
    </w:pPr>
    <w:rPr>
      <w:color w:val="000080"/>
    </w:rPr>
  </w:style>
  <w:style w:type="paragraph" w:styleId="BalloonText">
    <w:name w:val="Balloon Text"/>
    <w:basedOn w:val="Normal"/>
    <w:semiHidden/>
    <w:rsid w:val="00FD0BAF"/>
    <w:rPr>
      <w:rFonts w:ascii="Tahoma" w:hAnsi="Tahoma" w:cs="Tahoma"/>
      <w:sz w:val="16"/>
      <w:szCs w:val="16"/>
    </w:rPr>
  </w:style>
  <w:style w:type="paragraph" w:styleId="PlainText">
    <w:name w:val="Plain Text"/>
    <w:basedOn w:val="Normal"/>
    <w:link w:val="PlainTextChar"/>
    <w:uiPriority w:val="99"/>
    <w:unhideWhenUsed/>
    <w:rsid w:val="00EE72DA"/>
    <w:rPr>
      <w:rFonts w:ascii="Consolas" w:eastAsia="Calibri" w:hAnsi="Consolas"/>
      <w:sz w:val="21"/>
      <w:szCs w:val="21"/>
    </w:rPr>
  </w:style>
  <w:style w:type="character" w:customStyle="1" w:styleId="PlainTextChar">
    <w:name w:val="Plain Text Char"/>
    <w:link w:val="PlainText"/>
    <w:uiPriority w:val="99"/>
    <w:rsid w:val="00EE72DA"/>
    <w:rPr>
      <w:rFonts w:ascii="Consolas" w:eastAsia="Calibri" w:hAnsi="Consolas" w:cs="Times New Roman"/>
      <w:sz w:val="21"/>
      <w:szCs w:val="21"/>
    </w:rPr>
  </w:style>
  <w:style w:type="character" w:customStyle="1" w:styleId="FooterChar">
    <w:name w:val="Footer Char"/>
    <w:link w:val="Footer"/>
    <w:uiPriority w:val="99"/>
    <w:rsid w:val="003220FE"/>
    <w:rPr>
      <w:rFonts w:ascii="Arial Black" w:hAnsi="Arial Black"/>
    </w:rPr>
  </w:style>
  <w:style w:type="paragraph" w:styleId="NoSpacing">
    <w:name w:val="No Spacing"/>
    <w:uiPriority w:val="1"/>
    <w:qFormat/>
    <w:rsid w:val="00810E3A"/>
    <w:rPr>
      <w:rFonts w:ascii="Calibri" w:eastAsia="Calibri" w:hAnsi="Calibri"/>
      <w:sz w:val="22"/>
      <w:szCs w:val="22"/>
    </w:rPr>
  </w:style>
  <w:style w:type="paragraph" w:styleId="CommentText">
    <w:name w:val="annotation text"/>
    <w:basedOn w:val="Normal"/>
    <w:link w:val="CommentTextChar"/>
    <w:rsid w:val="00406D0C"/>
    <w:pPr>
      <w:spacing w:line="240" w:lineRule="auto"/>
    </w:pPr>
    <w:rPr>
      <w:szCs w:val="20"/>
    </w:rPr>
  </w:style>
  <w:style w:type="character" w:customStyle="1" w:styleId="CommentTextChar">
    <w:name w:val="Comment Text Char"/>
    <w:basedOn w:val="DefaultParagraphFont"/>
    <w:link w:val="CommentText"/>
    <w:rsid w:val="00406D0C"/>
    <w:rPr>
      <w:rFonts w:ascii="Times New Roman" w:hAnsi="Times New Roman"/>
    </w:rPr>
  </w:style>
  <w:style w:type="character" w:styleId="CommentReference">
    <w:name w:val="annotation reference"/>
    <w:basedOn w:val="DefaultParagraphFont"/>
    <w:rsid w:val="00406D0C"/>
    <w:rPr>
      <w:sz w:val="16"/>
      <w:szCs w:val="16"/>
    </w:rPr>
  </w:style>
  <w:style w:type="paragraph" w:styleId="CommentSubject">
    <w:name w:val="annotation subject"/>
    <w:basedOn w:val="CommentText"/>
    <w:next w:val="CommentText"/>
    <w:link w:val="CommentSubjectChar"/>
    <w:rsid w:val="00481470"/>
    <w:rPr>
      <w:b/>
      <w:bCs/>
    </w:rPr>
  </w:style>
  <w:style w:type="character" w:customStyle="1" w:styleId="CommentSubjectChar">
    <w:name w:val="Comment Subject Char"/>
    <w:basedOn w:val="CommentTextChar"/>
    <w:link w:val="CommentSubject"/>
    <w:rsid w:val="00481470"/>
    <w:rPr>
      <w:rFonts w:ascii="Times New Roman" w:hAnsi="Times New Roman"/>
      <w:b/>
      <w:bCs/>
    </w:rPr>
  </w:style>
  <w:style w:type="paragraph" w:styleId="ListParagraph">
    <w:name w:val="List Paragraph"/>
    <w:basedOn w:val="Normal"/>
    <w:uiPriority w:val="1"/>
    <w:qFormat/>
    <w:rsid w:val="00854941"/>
    <w:pPr>
      <w:widowControl w:val="0"/>
      <w:tabs>
        <w:tab w:val="clear" w:pos="720"/>
      </w:tabs>
      <w:autoSpaceDE w:val="0"/>
      <w:autoSpaceDN w:val="0"/>
      <w:spacing w:line="240" w:lineRule="auto"/>
      <w:ind w:left="412" w:firstLine="193"/>
      <w:jc w:val="lef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312">
      <w:bodyDiv w:val="1"/>
      <w:marLeft w:val="0"/>
      <w:marRight w:val="0"/>
      <w:marTop w:val="0"/>
      <w:marBottom w:val="0"/>
      <w:divBdr>
        <w:top w:val="none" w:sz="0" w:space="0" w:color="auto"/>
        <w:left w:val="none" w:sz="0" w:space="0" w:color="auto"/>
        <w:bottom w:val="none" w:sz="0" w:space="0" w:color="auto"/>
        <w:right w:val="none" w:sz="0" w:space="0" w:color="auto"/>
      </w:divBdr>
    </w:div>
    <w:div w:id="1099057466">
      <w:bodyDiv w:val="1"/>
      <w:marLeft w:val="0"/>
      <w:marRight w:val="0"/>
      <w:marTop w:val="0"/>
      <w:marBottom w:val="0"/>
      <w:divBdr>
        <w:top w:val="none" w:sz="0" w:space="0" w:color="auto"/>
        <w:left w:val="none" w:sz="0" w:space="0" w:color="auto"/>
        <w:bottom w:val="none" w:sz="0" w:space="0" w:color="auto"/>
        <w:right w:val="none" w:sz="0" w:space="0" w:color="auto"/>
      </w:divBdr>
    </w:div>
    <w:div w:id="1113786522">
      <w:bodyDiv w:val="1"/>
      <w:marLeft w:val="0"/>
      <w:marRight w:val="0"/>
      <w:marTop w:val="0"/>
      <w:marBottom w:val="0"/>
      <w:divBdr>
        <w:top w:val="none" w:sz="0" w:space="0" w:color="auto"/>
        <w:left w:val="none" w:sz="0" w:space="0" w:color="auto"/>
        <w:bottom w:val="none" w:sz="0" w:space="0" w:color="auto"/>
        <w:right w:val="none" w:sz="0" w:space="0" w:color="auto"/>
      </w:divBdr>
    </w:div>
    <w:div w:id="20748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2018-05-10T15:33:00Z</dcterms:created>
  <dcterms:modified xsi:type="dcterms:W3CDTF">2021-08-12T00:06:00Z</dcterms:modified>
</cp:coreProperties>
</file>