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3E" w:rsidRDefault="0070203F">
      <w:pPr>
        <w:pStyle w:val="BodyText"/>
        <w:spacing w:before="180" w:line="240" w:lineRule="exact"/>
        <w:ind w:left="3432" w:right="3143" w:firstLine="576"/>
      </w:pPr>
      <w:r>
        <w:t>ADDENDUM TO RECORD OF</w:t>
      </w:r>
      <w:r>
        <w:rPr>
          <w:spacing w:val="-3"/>
        </w:rPr>
        <w:t xml:space="preserve"> </w:t>
      </w:r>
      <w:r>
        <w:t>PROCEEDINGS</w:t>
      </w:r>
    </w:p>
    <w:p w:rsidR="001E093E" w:rsidRDefault="0070203F">
      <w:pPr>
        <w:pStyle w:val="BodyText"/>
        <w:spacing w:line="264" w:lineRule="exact"/>
        <w:ind w:left="1416"/>
      </w:pPr>
      <w:r>
        <w:t>AIR FORCE BOARD FOR CORRECTION OF MILITARY RECORDS</w:t>
      </w:r>
    </w:p>
    <w:p w:rsidR="001E093E" w:rsidRDefault="0070203F">
      <w:pPr>
        <w:pStyle w:val="BodyText"/>
        <w:tabs>
          <w:tab w:val="left" w:pos="4871"/>
        </w:tabs>
        <w:spacing w:before="216" w:line="240" w:lineRule="exact"/>
        <w:ind w:left="4872" w:right="695" w:hanging="4752"/>
      </w:pPr>
      <w:r>
        <w:t>IN THE</w:t>
      </w:r>
      <w:r>
        <w:rPr>
          <w:spacing w:val="-3"/>
        </w:rPr>
        <w:t xml:space="preserve"> </w:t>
      </w:r>
      <w:r>
        <w:t>MATTER</w:t>
      </w:r>
      <w:r>
        <w:rPr>
          <w:spacing w:val="-2"/>
        </w:rPr>
        <w:t xml:space="preserve"> </w:t>
      </w:r>
      <w:r>
        <w:t>OF:</w:t>
      </w:r>
      <w:r>
        <w:tab/>
        <w:t>DOCKET</w:t>
      </w:r>
      <w:r>
        <w:rPr>
          <w:spacing w:val="-2"/>
        </w:rPr>
        <w:t xml:space="preserve"> </w:t>
      </w:r>
      <w:r>
        <w:t>NUMBER:</w:t>
      </w:r>
      <w:r>
        <w:rPr>
          <w:spacing w:val="-2"/>
        </w:rPr>
        <w:t xml:space="preserve"> </w:t>
      </w:r>
      <w:r>
        <w:t>BC-2011-04130</w:t>
      </w:r>
      <w:r>
        <w:rPr>
          <w:w w:val="99"/>
        </w:rPr>
        <w:t xml:space="preserve"> </w:t>
      </w:r>
      <w:r>
        <w:t>COUNSEL:</w:t>
      </w:r>
    </w:p>
    <w:p w:rsidR="001E093E" w:rsidRDefault="0070203F">
      <w:pPr>
        <w:pStyle w:val="BodyText"/>
        <w:tabs>
          <w:tab w:val="left" w:pos="7463"/>
        </w:tabs>
        <w:spacing w:line="264" w:lineRule="exact"/>
        <w:ind w:left="4872"/>
      </w:pPr>
      <w:r>
        <w:t>HEARING</w:t>
      </w:r>
      <w:r>
        <w:rPr>
          <w:spacing w:val="-2"/>
        </w:rPr>
        <w:t xml:space="preserve"> </w:t>
      </w:r>
      <w:r>
        <w:t>DESIRED:</w:t>
      </w:r>
      <w:r>
        <w:tab/>
        <w:t>YES</w:t>
      </w:r>
    </w:p>
    <w:p w:rsidR="001E093E" w:rsidRDefault="001E093E">
      <w:pPr>
        <w:pStyle w:val="BodyText"/>
        <w:rPr>
          <w:sz w:val="20"/>
        </w:rPr>
      </w:pPr>
    </w:p>
    <w:p w:rsidR="001E093E" w:rsidRDefault="001B757F">
      <w:pPr>
        <w:pStyle w:val="BodyText"/>
        <w:spacing w:before="5"/>
        <w:rPr>
          <w:sz w:val="17"/>
        </w:rPr>
      </w:pPr>
      <w:r>
        <w:pict>
          <v:line id="_x0000_s1030" style="position:absolute;z-index:251655680;mso-wrap-distance-left:0;mso-wrap-distance-right:0;mso-position-horizontal-relative:page" from="1in,12.1pt" to="532.8pt,12.1pt" strokeweight=".17356mm">
            <w10:wrap type="topAndBottom" anchorx="page"/>
          </v:line>
        </w:pict>
      </w:r>
    </w:p>
    <w:p w:rsidR="001E093E" w:rsidRDefault="001E093E">
      <w:pPr>
        <w:pStyle w:val="BodyText"/>
        <w:spacing w:before="6"/>
        <w:rPr>
          <w:sz w:val="7"/>
        </w:rPr>
      </w:pPr>
    </w:p>
    <w:p w:rsidR="001E093E" w:rsidRDefault="0070203F">
      <w:pPr>
        <w:pStyle w:val="BodyText"/>
        <w:spacing w:before="100"/>
        <w:ind w:left="120"/>
        <w:jc w:val="both"/>
      </w:pPr>
      <w:r>
        <w:rPr>
          <w:u w:val="single"/>
        </w:rPr>
        <w:t>APPLICANT REQUESTS THAT</w:t>
      </w:r>
      <w:r>
        <w:t>:</w:t>
      </w:r>
    </w:p>
    <w:p w:rsidR="001E093E" w:rsidRDefault="0070203F">
      <w:pPr>
        <w:pStyle w:val="ListParagraph"/>
        <w:numPr>
          <w:ilvl w:val="0"/>
          <w:numId w:val="2"/>
        </w:numPr>
        <w:tabs>
          <w:tab w:val="left" w:pos="696"/>
        </w:tabs>
        <w:spacing w:before="216"/>
        <w:ind w:firstLine="0"/>
        <w:jc w:val="both"/>
        <w:rPr>
          <w:sz w:val="24"/>
        </w:rPr>
      </w:pPr>
      <w:r>
        <w:rPr>
          <w:sz w:val="24"/>
        </w:rPr>
        <w:t xml:space="preserve">His </w:t>
      </w:r>
      <w:proofErr w:type="spellStart"/>
      <w:r>
        <w:rPr>
          <w:sz w:val="24"/>
        </w:rPr>
        <w:t>nonjudicial</w:t>
      </w:r>
      <w:proofErr w:type="spellEnd"/>
      <w:r>
        <w:rPr>
          <w:sz w:val="24"/>
        </w:rPr>
        <w:t xml:space="preserve"> punishment (NJP) and any </w:t>
      </w:r>
      <w:proofErr w:type="gramStart"/>
      <w:r>
        <w:rPr>
          <w:sz w:val="24"/>
        </w:rPr>
        <w:t>negative  information</w:t>
      </w:r>
      <w:proofErr w:type="gramEnd"/>
      <w:r>
        <w:rPr>
          <w:sz w:val="24"/>
        </w:rPr>
        <w:t xml:space="preserve"> related to the Driving under the Influence (DUI) of alcohol incident be</w:t>
      </w:r>
      <w:r>
        <w:rPr>
          <w:spacing w:val="-4"/>
          <w:sz w:val="24"/>
        </w:rPr>
        <w:t xml:space="preserve"> </w:t>
      </w:r>
      <w:r>
        <w:rPr>
          <w:sz w:val="24"/>
        </w:rPr>
        <w:t>removed.</w:t>
      </w:r>
    </w:p>
    <w:p w:rsidR="001E093E" w:rsidRDefault="001E093E">
      <w:pPr>
        <w:pStyle w:val="BodyText"/>
        <w:spacing w:before="2"/>
        <w:rPr>
          <w:sz w:val="21"/>
        </w:rPr>
      </w:pPr>
    </w:p>
    <w:p w:rsidR="001E093E" w:rsidRDefault="0070203F">
      <w:pPr>
        <w:pStyle w:val="ListParagraph"/>
        <w:numPr>
          <w:ilvl w:val="0"/>
          <w:numId w:val="2"/>
        </w:numPr>
        <w:tabs>
          <w:tab w:val="left" w:pos="696"/>
        </w:tabs>
        <w:ind w:firstLine="0"/>
        <w:jc w:val="both"/>
        <w:rPr>
          <w:sz w:val="24"/>
        </w:rPr>
      </w:pPr>
      <w:r>
        <w:rPr>
          <w:sz w:val="24"/>
        </w:rPr>
        <w:t xml:space="preserve">His enlisted performance report (EPR) rendered for </w:t>
      </w:r>
      <w:proofErr w:type="gramStart"/>
      <w:r>
        <w:rPr>
          <w:sz w:val="24"/>
        </w:rPr>
        <w:t>the  period</w:t>
      </w:r>
      <w:proofErr w:type="gramEnd"/>
      <w:r>
        <w:rPr>
          <w:sz w:val="24"/>
        </w:rPr>
        <w:t xml:space="preserve"> of 2 Mar 10 through 1 Mar 11 be</w:t>
      </w:r>
      <w:r>
        <w:rPr>
          <w:spacing w:val="-11"/>
          <w:sz w:val="24"/>
        </w:rPr>
        <w:t xml:space="preserve"> </w:t>
      </w:r>
      <w:r>
        <w:rPr>
          <w:sz w:val="24"/>
        </w:rPr>
        <w:t>removed.</w:t>
      </w:r>
    </w:p>
    <w:p w:rsidR="001E093E" w:rsidRDefault="001E093E">
      <w:pPr>
        <w:pStyle w:val="BodyText"/>
        <w:spacing w:before="1"/>
        <w:rPr>
          <w:sz w:val="21"/>
        </w:rPr>
      </w:pPr>
    </w:p>
    <w:p w:rsidR="001E093E" w:rsidRDefault="0070203F">
      <w:pPr>
        <w:pStyle w:val="ListParagraph"/>
        <w:numPr>
          <w:ilvl w:val="0"/>
          <w:numId w:val="2"/>
        </w:numPr>
        <w:tabs>
          <w:tab w:val="left" w:pos="696"/>
        </w:tabs>
        <w:spacing w:before="1"/>
        <w:ind w:firstLine="0"/>
        <w:jc w:val="both"/>
        <w:rPr>
          <w:sz w:val="24"/>
        </w:rPr>
      </w:pPr>
      <w:r>
        <w:rPr>
          <w:sz w:val="24"/>
        </w:rPr>
        <w:t xml:space="preserve">He be restored to the appropriate grade with all back </w:t>
      </w:r>
      <w:proofErr w:type="gramStart"/>
      <w:r>
        <w:rPr>
          <w:sz w:val="24"/>
        </w:rPr>
        <w:t>pay  and</w:t>
      </w:r>
      <w:proofErr w:type="gramEnd"/>
      <w:r>
        <w:rPr>
          <w:spacing w:val="-2"/>
          <w:sz w:val="24"/>
        </w:rPr>
        <w:t xml:space="preserve"> </w:t>
      </w:r>
      <w:r>
        <w:rPr>
          <w:sz w:val="24"/>
        </w:rPr>
        <w:t>allowances.</w:t>
      </w:r>
    </w:p>
    <w:p w:rsidR="001E093E" w:rsidRDefault="001E093E">
      <w:pPr>
        <w:pStyle w:val="BodyText"/>
        <w:rPr>
          <w:sz w:val="20"/>
        </w:rPr>
      </w:pPr>
    </w:p>
    <w:p w:rsidR="001E093E" w:rsidRDefault="001B757F">
      <w:pPr>
        <w:pStyle w:val="BodyText"/>
        <w:spacing w:before="7"/>
        <w:rPr>
          <w:sz w:val="19"/>
        </w:rPr>
      </w:pPr>
      <w:r>
        <w:pict>
          <v:line id="_x0000_s1029" style="position:absolute;z-index:251656704;mso-wrap-distance-left:0;mso-wrap-distance-right:0;mso-position-horizontal-relative:page" from="1in,13.3pt" to="532.8pt,13.3pt" strokeweight=".17356mm">
            <w10:wrap type="topAndBottom" anchorx="page"/>
          </v:line>
        </w:pict>
      </w:r>
    </w:p>
    <w:p w:rsidR="001E093E" w:rsidRDefault="001E093E">
      <w:pPr>
        <w:pStyle w:val="BodyText"/>
        <w:spacing w:before="6"/>
        <w:rPr>
          <w:sz w:val="7"/>
        </w:rPr>
      </w:pPr>
    </w:p>
    <w:p w:rsidR="001E093E" w:rsidRDefault="0070203F">
      <w:pPr>
        <w:pStyle w:val="BodyText"/>
        <w:spacing w:before="100"/>
        <w:ind w:left="120"/>
        <w:jc w:val="both"/>
      </w:pPr>
      <w:r>
        <w:rPr>
          <w:u w:val="single"/>
        </w:rPr>
        <w:t>STATEMENT OF FACTS</w:t>
      </w:r>
      <w:r>
        <w:t>:</w:t>
      </w:r>
    </w:p>
    <w:p w:rsidR="001E093E" w:rsidRDefault="0070203F">
      <w:pPr>
        <w:pStyle w:val="BodyText"/>
        <w:spacing w:before="216" w:line="240" w:lineRule="exact"/>
        <w:ind w:left="119" w:right="115"/>
        <w:jc w:val="both"/>
      </w:pPr>
      <w:r>
        <w:t xml:space="preserve">On 24 Jan 11, the applicant was offered </w:t>
      </w:r>
      <w:proofErr w:type="spellStart"/>
      <w:r>
        <w:t>nonjudicial</w:t>
      </w:r>
      <w:proofErr w:type="spellEnd"/>
      <w:r>
        <w:t xml:space="preserve"> punishment under Article 15, Uniform Code of Military Justice (UCMJ). </w:t>
      </w:r>
      <w:proofErr w:type="gramStart"/>
      <w:r>
        <w:t>He  was</w:t>
      </w:r>
      <w:proofErr w:type="gramEnd"/>
      <w:r>
        <w:t xml:space="preserve"> charged with one specification of drunk or reckless  operation of a vehicle in violation of Article 111, UCMJ. The facts of the case specify that he was initially pulled-over by security forces personnel for traveling northbound in a southbound lane. He admitted to drinking an hour prior to the traffic stop and was sweating profusely.  He consented to </w:t>
      </w:r>
      <w:proofErr w:type="gramStart"/>
      <w:r>
        <w:t>a  field</w:t>
      </w:r>
      <w:proofErr w:type="gramEnd"/>
      <w:r>
        <w:t xml:space="preserve"> sobriety test and exhibited signs of driving while under the influence of alcohol. He was afforded the opportunity to consult with defense counsel, accepted the Article 15 and waived his right to demand trial by court-martial. He elected not to present written matters but did make a personal </w:t>
      </w:r>
      <w:proofErr w:type="gramStart"/>
      <w:r>
        <w:t>appearance  before</w:t>
      </w:r>
      <w:proofErr w:type="gramEnd"/>
      <w:r>
        <w:t xml:space="preserve"> the commander. On 28 Jan 11, the commander decided the applicant had committed the charged offense and imposed punishment consisting of a suspended reduction to the rank of senior airman, a suspended forfeiture of $500.00 pay, ten days extra duty and a reprimand. The applicant did not appeal the commander's decision. The Article 15 action was reviewed and determined· to be legally</w:t>
      </w:r>
      <w:r>
        <w:rPr>
          <w:spacing w:val="-5"/>
        </w:rPr>
        <w:t xml:space="preserve"> </w:t>
      </w:r>
      <w:r>
        <w:t>sufficient.</w:t>
      </w:r>
    </w:p>
    <w:p w:rsidR="001E093E" w:rsidRDefault="0070203F">
      <w:pPr>
        <w:pStyle w:val="BodyText"/>
        <w:spacing w:before="232" w:line="256" w:lineRule="exact"/>
        <w:ind w:left="119"/>
        <w:jc w:val="both"/>
      </w:pPr>
      <w:r>
        <w:t>A</w:t>
      </w:r>
      <w:r>
        <w:rPr>
          <w:spacing w:val="85"/>
        </w:rPr>
        <w:t xml:space="preserve"> </w:t>
      </w:r>
      <w:r>
        <w:t>similar</w:t>
      </w:r>
      <w:r>
        <w:rPr>
          <w:spacing w:val="85"/>
        </w:rPr>
        <w:t xml:space="preserve"> </w:t>
      </w:r>
      <w:r>
        <w:t>appeal</w:t>
      </w:r>
      <w:r>
        <w:rPr>
          <w:spacing w:val="85"/>
        </w:rPr>
        <w:t xml:space="preserve"> </w:t>
      </w:r>
      <w:r>
        <w:t>was</w:t>
      </w:r>
      <w:r>
        <w:rPr>
          <w:spacing w:val="85"/>
        </w:rPr>
        <w:t xml:space="preserve"> </w:t>
      </w:r>
      <w:r>
        <w:t>considered</w:t>
      </w:r>
      <w:r>
        <w:rPr>
          <w:spacing w:val="85"/>
        </w:rPr>
        <w:t xml:space="preserve"> </w:t>
      </w:r>
      <w:r>
        <w:t>and</w:t>
      </w:r>
      <w:r>
        <w:rPr>
          <w:spacing w:val="85"/>
        </w:rPr>
        <w:t xml:space="preserve"> </w:t>
      </w:r>
      <w:r>
        <w:t>denied</w:t>
      </w:r>
      <w:r>
        <w:rPr>
          <w:spacing w:val="85"/>
        </w:rPr>
        <w:t xml:space="preserve"> </w:t>
      </w:r>
      <w:r>
        <w:t>by</w:t>
      </w:r>
      <w:r>
        <w:rPr>
          <w:spacing w:val="85"/>
        </w:rPr>
        <w:t xml:space="preserve"> </w:t>
      </w:r>
      <w:r>
        <w:t>the</w:t>
      </w:r>
      <w:r>
        <w:rPr>
          <w:spacing w:val="85"/>
        </w:rPr>
        <w:t xml:space="preserve"> </w:t>
      </w:r>
      <w:r>
        <w:t>Board,</w:t>
      </w:r>
      <w:r>
        <w:rPr>
          <w:spacing w:val="85"/>
        </w:rPr>
        <w:t xml:space="preserve"> </w:t>
      </w:r>
      <w:r>
        <w:t>on</w:t>
      </w:r>
    </w:p>
    <w:p w:rsidR="001E093E" w:rsidRDefault="0070203F">
      <w:pPr>
        <w:pStyle w:val="BodyText"/>
        <w:spacing w:before="7" w:line="211" w:lineRule="auto"/>
        <w:ind w:left="119" w:right="119"/>
        <w:jc w:val="both"/>
      </w:pPr>
      <w:r>
        <w:t xml:space="preserve">21 Jun 12. For an accounting of the facts and circumstances surrounding the application, and, the rationale of the earlier decision by the Board, see the </w:t>
      </w:r>
      <w:proofErr w:type="gramStart"/>
      <w:r>
        <w:t>Record  of</w:t>
      </w:r>
      <w:proofErr w:type="gramEnd"/>
      <w:r>
        <w:t xml:space="preserve">  Proceedings  at Exhibit G, with</w:t>
      </w:r>
      <w:r>
        <w:rPr>
          <w:spacing w:val="-4"/>
        </w:rPr>
        <w:t xml:space="preserve"> </w:t>
      </w:r>
      <w:r>
        <w:t>attachments.</w:t>
      </w:r>
    </w:p>
    <w:p w:rsidR="001E093E" w:rsidRDefault="001E093E">
      <w:pPr>
        <w:spacing w:line="211" w:lineRule="auto"/>
        <w:jc w:val="both"/>
        <w:sectPr w:rsidR="001E093E">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320" w:bottom="280" w:left="1320" w:header="720" w:footer="720" w:gutter="0"/>
          <w:cols w:space="720"/>
        </w:sectPr>
      </w:pPr>
    </w:p>
    <w:p w:rsidR="001E093E" w:rsidRDefault="0070203F">
      <w:pPr>
        <w:pStyle w:val="BodyText"/>
        <w:spacing w:before="80" w:line="240" w:lineRule="exact"/>
        <w:ind w:left="120" w:right="119"/>
        <w:jc w:val="both"/>
      </w:pPr>
      <w:r>
        <w:lastRenderedPageBreak/>
        <w:t>By letter, dated 31 Aug 12, the applicant’s counsel requests reconsideration of his case, because the advisory opinions were mailed directly to the applicant vice to his counsel and the applicant did not respond. This deprived the applicant of the opportunity to submit a rebuttal (Exhibit H).</w:t>
      </w:r>
    </w:p>
    <w:p w:rsidR="001E093E" w:rsidRDefault="001E093E">
      <w:pPr>
        <w:pStyle w:val="BodyText"/>
        <w:spacing w:before="2"/>
        <w:rPr>
          <w:sz w:val="21"/>
        </w:rPr>
      </w:pPr>
      <w:bookmarkStart w:id="0" w:name="_GoBack"/>
      <w:bookmarkEnd w:id="0"/>
    </w:p>
    <w:p w:rsidR="001E093E" w:rsidRDefault="0070203F">
      <w:pPr>
        <w:pStyle w:val="BodyText"/>
        <w:spacing w:line="240" w:lineRule="exact"/>
        <w:ind w:left="120" w:right="119"/>
        <w:jc w:val="both"/>
      </w:pPr>
      <w:r>
        <w:t xml:space="preserve">Copies of the Air Force evaluations were forwarded to the applicant counsel, on 31 Oct 12, for review and comment  </w:t>
      </w:r>
      <w:r>
        <w:rPr>
          <w:spacing w:val="140"/>
        </w:rPr>
        <w:t xml:space="preserve"> </w:t>
      </w:r>
      <w:r>
        <w:t>within</w:t>
      </w:r>
    </w:p>
    <w:p w:rsidR="001E093E" w:rsidRDefault="0070203F">
      <w:pPr>
        <w:pStyle w:val="BodyText"/>
        <w:spacing w:line="264" w:lineRule="exact"/>
        <w:ind w:left="120"/>
        <w:jc w:val="both"/>
      </w:pPr>
      <w:r>
        <w:t>30 days.  (Exhibit I).</w:t>
      </w:r>
    </w:p>
    <w:p w:rsidR="001E093E" w:rsidRDefault="0070203F">
      <w:pPr>
        <w:pStyle w:val="BodyText"/>
        <w:spacing w:before="216" w:line="240" w:lineRule="exact"/>
        <w:ind w:left="120" w:right="119"/>
        <w:jc w:val="both"/>
      </w:pPr>
      <w:r>
        <w:t xml:space="preserve">In his response, counsel notes the AFLOA/JAJM advisory provides the most thorough assessment of the applicant’s request. AFPC/DPSOE defers its opinion to the JAJM advisory </w:t>
      </w:r>
      <w:proofErr w:type="gramStart"/>
      <w:r>
        <w:t>and  AFPC</w:t>
      </w:r>
      <w:proofErr w:type="gramEnd"/>
      <w:r>
        <w:t>/DPSID narrowly addresses the request to remove the  contested</w:t>
      </w:r>
      <w:r>
        <w:rPr>
          <w:spacing w:val="-2"/>
        </w:rPr>
        <w:t xml:space="preserve"> </w:t>
      </w:r>
      <w:r>
        <w:t>report.</w:t>
      </w:r>
    </w:p>
    <w:p w:rsidR="001E093E" w:rsidRDefault="001E093E">
      <w:pPr>
        <w:pStyle w:val="BodyText"/>
        <w:spacing w:before="2"/>
        <w:rPr>
          <w:sz w:val="21"/>
        </w:rPr>
      </w:pPr>
    </w:p>
    <w:p w:rsidR="001E093E" w:rsidRDefault="0070203F">
      <w:pPr>
        <w:pStyle w:val="BodyText"/>
        <w:spacing w:line="240" w:lineRule="exact"/>
        <w:ind w:left="120" w:right="119"/>
        <w:jc w:val="both"/>
      </w:pPr>
      <w:r>
        <w:t xml:space="preserve">In addition, counsel notes that AFI 51-202, section 5.7.1 outlines two circumstances when the removal, or “setting aside”, of an Article 15 is proper. The first circumstance is </w:t>
      </w:r>
      <w:proofErr w:type="gramStart"/>
      <w:r>
        <w:t>where  there</w:t>
      </w:r>
      <w:proofErr w:type="gramEnd"/>
      <w:r>
        <w:t xml:space="preserve"> is a genuine question about the service member's guilt.  The second circumstance for removal arises when the question of interest, specifically, will the best interest of the Air Force be served by removing the Article 15 from the service member's record.</w:t>
      </w:r>
    </w:p>
    <w:p w:rsidR="001E093E" w:rsidRDefault="001E093E">
      <w:pPr>
        <w:pStyle w:val="BodyText"/>
        <w:spacing w:before="2"/>
        <w:rPr>
          <w:sz w:val="21"/>
        </w:rPr>
      </w:pPr>
    </w:p>
    <w:p w:rsidR="001E093E" w:rsidRDefault="0070203F">
      <w:pPr>
        <w:pStyle w:val="BodyText"/>
        <w:spacing w:line="240" w:lineRule="exact"/>
        <w:ind w:left="120" w:right="119"/>
        <w:jc w:val="both"/>
      </w:pPr>
      <w:r>
        <w:t xml:space="preserve">The JAJM advisory opinion fails to engage the “interest” clause of AFI 51-202. The application does not challenge the manner in which the Article 15 was processed; rather, the application challenges the severity of the punishment in light of the applicant’s total service to the USAF. The “interest” clause of AFI 51-202 applies this case because the drunk driving </w:t>
      </w:r>
      <w:proofErr w:type="gramStart"/>
      <w:r>
        <w:t>offense  is</w:t>
      </w:r>
      <w:proofErr w:type="gramEnd"/>
      <w:r>
        <w:t xml:space="preserve"> the only blemish in his personnel record. The applicant develops a clear and compelling argument that based on his positive EPRs and because he was tentatively selected for promotion to Technical Sergeant (TSgt) during cycle 10E6 per Promotion Sequence Number 4151.0 (this fact is reflected in the AFPC/DPSOE advisory opinion) there was sufficient evidence for the Board to remove the Article 15 from his record. If the applicant’s past service and promotion potential are objectively considered, it is clear that it is in the best interest of the USAF that his record be cleared so that he may continue to progress in his career and serve with honor and</w:t>
      </w:r>
      <w:r>
        <w:rPr>
          <w:spacing w:val="-11"/>
        </w:rPr>
        <w:t xml:space="preserve"> </w:t>
      </w:r>
      <w:r>
        <w:t>distinction.</w:t>
      </w:r>
    </w:p>
    <w:p w:rsidR="001E093E" w:rsidRDefault="001E093E">
      <w:pPr>
        <w:pStyle w:val="BodyText"/>
        <w:spacing w:before="2"/>
        <w:rPr>
          <w:sz w:val="21"/>
        </w:rPr>
      </w:pPr>
    </w:p>
    <w:p w:rsidR="001E093E" w:rsidRDefault="0070203F">
      <w:pPr>
        <w:pStyle w:val="BodyText"/>
        <w:spacing w:line="240" w:lineRule="exact"/>
        <w:ind w:left="120" w:right="115"/>
        <w:jc w:val="both"/>
      </w:pPr>
      <w:r>
        <w:t>With the discovery of the AFLOA/JAJM, AFPC/DPSOE and the AFPC/DPSID advisory opinions, and the arguments contained in counsel’s memorandum, he respectfully requests the previous decision be overturned.</w:t>
      </w:r>
    </w:p>
    <w:p w:rsidR="001E093E" w:rsidRDefault="0070203F">
      <w:pPr>
        <w:pStyle w:val="BodyText"/>
        <w:spacing w:before="232"/>
        <w:ind w:left="120"/>
        <w:jc w:val="both"/>
      </w:pPr>
      <w:r>
        <w:t>Counsel’s complete response is at Exhibit J.</w:t>
      </w:r>
    </w:p>
    <w:p w:rsidR="001E093E" w:rsidRDefault="001E093E">
      <w:pPr>
        <w:pStyle w:val="BodyText"/>
        <w:rPr>
          <w:sz w:val="20"/>
        </w:rPr>
      </w:pPr>
    </w:p>
    <w:p w:rsidR="001E093E" w:rsidRDefault="001B757F">
      <w:pPr>
        <w:pStyle w:val="BodyText"/>
        <w:spacing w:before="5"/>
        <w:rPr>
          <w:sz w:val="17"/>
        </w:rPr>
      </w:pPr>
      <w:r>
        <w:pict>
          <v:line id="_x0000_s1028" style="position:absolute;z-index:251657728;mso-wrap-distance-left:0;mso-wrap-distance-right:0;mso-position-horizontal-relative:page" from="1in,12.1pt" to="532.8pt,12.1pt" strokeweight=".17356mm">
            <w10:wrap type="topAndBottom" anchorx="page"/>
          </v:line>
        </w:pict>
      </w:r>
    </w:p>
    <w:p w:rsidR="001E093E" w:rsidRDefault="001E093E">
      <w:pPr>
        <w:pStyle w:val="BodyText"/>
        <w:spacing w:before="6"/>
        <w:rPr>
          <w:sz w:val="7"/>
        </w:rPr>
      </w:pPr>
    </w:p>
    <w:p w:rsidR="001E093E" w:rsidRDefault="0070203F">
      <w:pPr>
        <w:pStyle w:val="BodyText"/>
        <w:spacing w:before="100"/>
        <w:ind w:left="120"/>
      </w:pPr>
      <w:r>
        <w:rPr>
          <w:u w:val="single"/>
        </w:rPr>
        <w:t>THE BOARD CONCLUDES THAT</w:t>
      </w:r>
      <w:r>
        <w:t>:</w:t>
      </w:r>
    </w:p>
    <w:p w:rsidR="001E093E" w:rsidRDefault="001E093E">
      <w:pPr>
        <w:sectPr w:rsidR="001E093E">
          <w:pgSz w:w="12240" w:h="15840"/>
          <w:pgMar w:top="1360" w:right="1320" w:bottom="280" w:left="1320" w:header="720" w:footer="720" w:gutter="0"/>
          <w:cols w:space="720"/>
        </w:sectPr>
      </w:pPr>
    </w:p>
    <w:p w:rsidR="001E093E" w:rsidRDefault="0070203F">
      <w:pPr>
        <w:pStyle w:val="ListParagraph"/>
        <w:numPr>
          <w:ilvl w:val="0"/>
          <w:numId w:val="1"/>
        </w:numPr>
        <w:tabs>
          <w:tab w:val="left" w:pos="696"/>
        </w:tabs>
        <w:spacing w:before="80"/>
        <w:ind w:right="120" w:firstLine="0"/>
        <w:jc w:val="both"/>
        <w:rPr>
          <w:sz w:val="24"/>
        </w:rPr>
      </w:pPr>
      <w:r>
        <w:rPr>
          <w:sz w:val="24"/>
        </w:rPr>
        <w:lastRenderedPageBreak/>
        <w:t xml:space="preserve">The applicant has exhausted all remedies provided </w:t>
      </w:r>
      <w:proofErr w:type="gramStart"/>
      <w:r>
        <w:rPr>
          <w:sz w:val="24"/>
        </w:rPr>
        <w:t>by  existing</w:t>
      </w:r>
      <w:proofErr w:type="gramEnd"/>
      <w:r>
        <w:rPr>
          <w:sz w:val="24"/>
        </w:rPr>
        <w:t xml:space="preserve"> law or</w:t>
      </w:r>
      <w:r>
        <w:rPr>
          <w:spacing w:val="-4"/>
          <w:sz w:val="24"/>
        </w:rPr>
        <w:t xml:space="preserve"> </w:t>
      </w:r>
      <w:r>
        <w:rPr>
          <w:sz w:val="24"/>
        </w:rPr>
        <w:t>regulations.</w:t>
      </w:r>
    </w:p>
    <w:p w:rsidR="001E093E" w:rsidRDefault="0070203F">
      <w:pPr>
        <w:pStyle w:val="ListParagraph"/>
        <w:numPr>
          <w:ilvl w:val="0"/>
          <w:numId w:val="1"/>
        </w:numPr>
        <w:tabs>
          <w:tab w:val="left" w:pos="696"/>
        </w:tabs>
        <w:spacing w:before="232" w:line="240" w:lineRule="auto"/>
        <w:ind w:left="696" w:right="0"/>
        <w:jc w:val="both"/>
        <w:rPr>
          <w:sz w:val="24"/>
        </w:rPr>
      </w:pPr>
      <w:r>
        <w:rPr>
          <w:sz w:val="24"/>
        </w:rPr>
        <w:t>The application was timely</w:t>
      </w:r>
      <w:r>
        <w:rPr>
          <w:spacing w:val="-5"/>
          <w:sz w:val="24"/>
        </w:rPr>
        <w:t xml:space="preserve"> </w:t>
      </w:r>
      <w:r>
        <w:rPr>
          <w:sz w:val="24"/>
        </w:rPr>
        <w:t>filed.</w:t>
      </w:r>
    </w:p>
    <w:p w:rsidR="001E093E" w:rsidRDefault="0070203F">
      <w:pPr>
        <w:pStyle w:val="ListParagraph"/>
        <w:numPr>
          <w:ilvl w:val="0"/>
          <w:numId w:val="1"/>
        </w:numPr>
        <w:tabs>
          <w:tab w:val="left" w:pos="696"/>
        </w:tabs>
        <w:spacing w:before="215"/>
        <w:ind w:right="115" w:firstLine="0"/>
        <w:jc w:val="both"/>
        <w:rPr>
          <w:sz w:val="24"/>
        </w:rPr>
      </w:pPr>
      <w:r>
        <w:rPr>
          <w:sz w:val="24"/>
        </w:rPr>
        <w:t xml:space="preserve">Insufficient relevant evidence has been presented to demonstrate the existence of error or injustice. We took notice of the applicant's complete submission in judging the merits of the case. However, in our view, the Air Force office of primary responsibility and the Air Force Legal Operations Agency have adequately addressed the issues presented by the applicant </w:t>
      </w:r>
      <w:proofErr w:type="gramStart"/>
      <w:r>
        <w:rPr>
          <w:sz w:val="24"/>
        </w:rPr>
        <w:t>and  we</w:t>
      </w:r>
      <w:proofErr w:type="gramEnd"/>
      <w:r>
        <w:rPr>
          <w:sz w:val="24"/>
        </w:rPr>
        <w:t xml:space="preserve"> are in agreement with their opinions and recommendations. We find no evidence of an error or injustice that occurred during the NJP proceedings; nor has the applicant provided any evidence which would lead us to believe the NJP was contrary to the provisions of the governing directives, unduly harsh, or disproportionate to the offenses committed. In </w:t>
      </w:r>
      <w:proofErr w:type="gramStart"/>
      <w:r>
        <w:rPr>
          <w:sz w:val="24"/>
        </w:rPr>
        <w:t>an  earlier</w:t>
      </w:r>
      <w:proofErr w:type="gramEnd"/>
      <w:r>
        <w:rPr>
          <w:sz w:val="24"/>
        </w:rPr>
        <w:t xml:space="preserve"> finding, the Board determined there was insufficient evidence to warrant corrective action. We have reviewed the letter, with attachments, provided by the applicant’s counsel in support of his appeal; however, the additional information did not, to our satisfaction, specifically substantiate his entitlement to the requested relief or to warrant overturning the earlier decision of the Board. In view of the above, we find no basis upon which to recommend favorable consideration of the applicant’s</w:t>
      </w:r>
      <w:r>
        <w:rPr>
          <w:spacing w:val="-9"/>
          <w:sz w:val="24"/>
        </w:rPr>
        <w:t xml:space="preserve"> </w:t>
      </w:r>
      <w:r>
        <w:rPr>
          <w:sz w:val="24"/>
        </w:rPr>
        <w:t>request.</w:t>
      </w:r>
    </w:p>
    <w:p w:rsidR="001E093E" w:rsidRDefault="001E093E">
      <w:pPr>
        <w:pStyle w:val="BodyText"/>
        <w:spacing w:before="1"/>
        <w:rPr>
          <w:sz w:val="21"/>
        </w:rPr>
      </w:pPr>
    </w:p>
    <w:p w:rsidR="001E093E" w:rsidRDefault="0070203F">
      <w:pPr>
        <w:pStyle w:val="ListParagraph"/>
        <w:numPr>
          <w:ilvl w:val="0"/>
          <w:numId w:val="1"/>
        </w:numPr>
        <w:tabs>
          <w:tab w:val="left" w:pos="696"/>
        </w:tabs>
        <w:ind w:right="115" w:firstLine="0"/>
        <w:jc w:val="both"/>
        <w:rPr>
          <w:sz w:val="24"/>
        </w:rPr>
      </w:pPr>
      <w:r>
        <w:rPr>
          <w:sz w:val="24"/>
        </w:rPr>
        <w:t>The applicant's case is adequately documented and it has not been shown that a personal appearance with or without counsel will materially add to our understanding of the issue(s) involved. Therefore, the request for a hearing is not favorably considered.</w:t>
      </w:r>
    </w:p>
    <w:p w:rsidR="001E093E" w:rsidRDefault="001E093E">
      <w:pPr>
        <w:pStyle w:val="BodyText"/>
        <w:rPr>
          <w:sz w:val="20"/>
        </w:rPr>
      </w:pPr>
    </w:p>
    <w:p w:rsidR="001E093E" w:rsidRDefault="001B757F">
      <w:pPr>
        <w:pStyle w:val="BodyText"/>
        <w:spacing w:before="6"/>
        <w:rPr>
          <w:sz w:val="19"/>
        </w:rPr>
      </w:pPr>
      <w:r>
        <w:pict>
          <v:line id="_x0000_s1027" style="position:absolute;z-index:251658752;mso-wrap-distance-left:0;mso-wrap-distance-right:0;mso-position-horizontal-relative:page" from="1in,13.3pt" to="532.8pt,13.3pt" strokeweight=".17356mm">
            <w10:wrap type="topAndBottom" anchorx="page"/>
          </v:line>
        </w:pict>
      </w:r>
    </w:p>
    <w:p w:rsidR="001E093E" w:rsidRDefault="001E093E">
      <w:pPr>
        <w:pStyle w:val="BodyText"/>
        <w:spacing w:before="6"/>
        <w:rPr>
          <w:sz w:val="7"/>
        </w:rPr>
      </w:pPr>
    </w:p>
    <w:p w:rsidR="001E093E" w:rsidRDefault="0070203F">
      <w:pPr>
        <w:pStyle w:val="BodyText"/>
        <w:spacing w:before="100"/>
        <w:ind w:left="120"/>
        <w:jc w:val="both"/>
      </w:pPr>
      <w:r>
        <w:rPr>
          <w:u w:val="single"/>
        </w:rPr>
        <w:t>THE BOARD DETERMINES THAT</w:t>
      </w:r>
      <w:r>
        <w:t>:</w:t>
      </w:r>
    </w:p>
    <w:p w:rsidR="001E093E" w:rsidRDefault="0070203F">
      <w:pPr>
        <w:pStyle w:val="BodyText"/>
        <w:spacing w:before="216" w:line="240" w:lineRule="exact"/>
        <w:ind w:left="120" w:right="119"/>
        <w:jc w:val="both"/>
      </w:pPr>
      <w: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1E093E" w:rsidRDefault="001E093E">
      <w:pPr>
        <w:pStyle w:val="BodyText"/>
        <w:rPr>
          <w:sz w:val="20"/>
        </w:rPr>
      </w:pPr>
    </w:p>
    <w:p w:rsidR="001E093E" w:rsidRDefault="001B757F">
      <w:pPr>
        <w:pStyle w:val="BodyText"/>
        <w:spacing w:before="7"/>
        <w:rPr>
          <w:sz w:val="19"/>
        </w:rPr>
      </w:pPr>
      <w:r>
        <w:pict>
          <v:line id="_x0000_s1026" style="position:absolute;z-index:251659776;mso-wrap-distance-left:0;mso-wrap-distance-right:0;mso-position-horizontal-relative:page" from="1in,13.3pt" to="532.8pt,13.3pt" strokeweight=".17356mm">
            <w10:wrap type="topAndBottom" anchorx="page"/>
          </v:line>
        </w:pict>
      </w:r>
    </w:p>
    <w:p w:rsidR="001E093E" w:rsidRDefault="001E093E">
      <w:pPr>
        <w:pStyle w:val="BodyText"/>
        <w:spacing w:before="6"/>
        <w:rPr>
          <w:sz w:val="7"/>
        </w:rPr>
      </w:pPr>
    </w:p>
    <w:p w:rsidR="001E093E" w:rsidRDefault="0070203F">
      <w:pPr>
        <w:pStyle w:val="BodyText"/>
        <w:spacing w:before="108" w:line="240" w:lineRule="exact"/>
        <w:ind w:left="120" w:right="119"/>
        <w:jc w:val="both"/>
      </w:pPr>
      <w:r>
        <w:t>The following members of the Board considered AFBCMR Docket Number BC-2011-04130 in Executive Session on 11 December 2012, under the provisions of AFI 36-2603:</w:t>
      </w:r>
    </w:p>
    <w:p w:rsidR="001E093E" w:rsidRDefault="0070203F">
      <w:pPr>
        <w:pStyle w:val="BodyText"/>
        <w:tabs>
          <w:tab w:val="left" w:pos="2423"/>
        </w:tabs>
        <w:spacing w:before="24" w:line="480" w:lineRule="atLeast"/>
        <w:ind w:left="696" w:right="1559" w:hanging="576"/>
      </w:pPr>
      <w:r>
        <w:t>The following documentary evidence was considered: Exhibit</w:t>
      </w:r>
      <w:r>
        <w:rPr>
          <w:spacing w:val="-2"/>
        </w:rPr>
        <w:t xml:space="preserve"> </w:t>
      </w:r>
      <w:r>
        <w:t>G.</w:t>
      </w:r>
      <w:r>
        <w:tab/>
        <w:t>Record of Proceedings, dated 18 Jul</w:t>
      </w:r>
      <w:r>
        <w:rPr>
          <w:spacing w:val="-7"/>
        </w:rPr>
        <w:t xml:space="preserve"> </w:t>
      </w:r>
      <w:r>
        <w:t>12,</w:t>
      </w:r>
    </w:p>
    <w:p w:rsidR="001E093E" w:rsidRDefault="0070203F">
      <w:pPr>
        <w:pStyle w:val="BodyText"/>
        <w:spacing w:line="224" w:lineRule="exact"/>
        <w:ind w:left="2424"/>
      </w:pPr>
      <w:proofErr w:type="gramStart"/>
      <w:r>
        <w:t>with</w:t>
      </w:r>
      <w:proofErr w:type="gramEnd"/>
      <w:r>
        <w:t xml:space="preserve"> Exhibit A through F.</w:t>
      </w:r>
    </w:p>
    <w:p w:rsidR="001E093E" w:rsidRDefault="0070203F">
      <w:pPr>
        <w:pStyle w:val="BodyText"/>
        <w:tabs>
          <w:tab w:val="left" w:pos="2423"/>
        </w:tabs>
        <w:spacing w:line="256" w:lineRule="exact"/>
        <w:ind w:left="696"/>
      </w:pPr>
      <w:r>
        <w:t>Exhibit</w:t>
      </w:r>
      <w:r>
        <w:rPr>
          <w:spacing w:val="-2"/>
        </w:rPr>
        <w:t xml:space="preserve"> </w:t>
      </w:r>
      <w:r>
        <w:t>H.</w:t>
      </w:r>
      <w:r>
        <w:tab/>
        <w:t>Letter, Applicant’s Counsel, dated 31 Aug</w:t>
      </w:r>
      <w:r>
        <w:rPr>
          <w:spacing w:val="-7"/>
        </w:rPr>
        <w:t xml:space="preserve"> </w:t>
      </w:r>
      <w:r>
        <w:t>12.</w:t>
      </w:r>
    </w:p>
    <w:p w:rsidR="001E093E" w:rsidRDefault="001E093E">
      <w:pPr>
        <w:spacing w:line="256" w:lineRule="exact"/>
        <w:sectPr w:rsidR="001E093E">
          <w:pgSz w:w="12240" w:h="15840"/>
          <w:pgMar w:top="1360" w:right="1320" w:bottom="280" w:left="1320" w:header="720" w:footer="720" w:gutter="0"/>
          <w:cols w:space="720"/>
        </w:sectPr>
      </w:pPr>
    </w:p>
    <w:p w:rsidR="001E093E" w:rsidRDefault="0070203F">
      <w:pPr>
        <w:pStyle w:val="BodyText"/>
        <w:tabs>
          <w:tab w:val="left" w:pos="2023"/>
        </w:tabs>
        <w:spacing w:before="80" w:line="240" w:lineRule="exact"/>
        <w:ind w:left="296" w:right="295"/>
      </w:pPr>
      <w:r>
        <w:lastRenderedPageBreak/>
        <w:t>Exhibit</w:t>
      </w:r>
      <w:r>
        <w:rPr>
          <w:spacing w:val="-2"/>
        </w:rPr>
        <w:t xml:space="preserve"> </w:t>
      </w:r>
      <w:r>
        <w:t>I.</w:t>
      </w:r>
      <w:r>
        <w:tab/>
        <w:t>Letter, AFBCMR, dated 31 Oct</w:t>
      </w:r>
      <w:r>
        <w:rPr>
          <w:spacing w:val="-6"/>
        </w:rPr>
        <w:t xml:space="preserve"> </w:t>
      </w:r>
      <w:r>
        <w:t>12,</w:t>
      </w:r>
      <w:r>
        <w:rPr>
          <w:spacing w:val="-2"/>
        </w:rPr>
        <w:t xml:space="preserve"> </w:t>
      </w:r>
      <w:r>
        <w:t>w/exhibits.</w:t>
      </w:r>
      <w:r>
        <w:rPr>
          <w:w w:val="99"/>
        </w:rPr>
        <w:t xml:space="preserve"> </w:t>
      </w:r>
      <w:r>
        <w:t>Exhibit</w:t>
      </w:r>
      <w:r>
        <w:rPr>
          <w:spacing w:val="-2"/>
        </w:rPr>
        <w:t xml:space="preserve"> </w:t>
      </w:r>
      <w:r>
        <w:t>J.</w:t>
      </w:r>
      <w:r>
        <w:tab/>
        <w:t>Letter, Applicant’s Counsel, dated 10 Oct</w:t>
      </w:r>
      <w:r>
        <w:rPr>
          <w:spacing w:val="-7"/>
        </w:rPr>
        <w:t xml:space="preserve"> </w:t>
      </w:r>
      <w:r>
        <w:t>12.</w:t>
      </w:r>
    </w:p>
    <w:p w:rsidR="001E093E" w:rsidRDefault="001E093E">
      <w:pPr>
        <w:pStyle w:val="BodyText"/>
        <w:rPr>
          <w:sz w:val="26"/>
        </w:rPr>
      </w:pPr>
    </w:p>
    <w:p w:rsidR="001E093E" w:rsidRDefault="001E093E">
      <w:pPr>
        <w:pStyle w:val="BodyText"/>
        <w:rPr>
          <w:sz w:val="26"/>
        </w:rPr>
      </w:pPr>
    </w:p>
    <w:p w:rsidR="001E093E" w:rsidRDefault="001E093E">
      <w:pPr>
        <w:pStyle w:val="BodyText"/>
        <w:rPr>
          <w:sz w:val="32"/>
        </w:rPr>
      </w:pPr>
    </w:p>
    <w:sectPr w:rsidR="001E093E">
      <w:pgSz w:w="12240" w:h="15840"/>
      <w:pgMar w:top="136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57F" w:rsidRDefault="001B757F" w:rsidP="00563F28">
      <w:r>
        <w:separator/>
      </w:r>
    </w:p>
  </w:endnote>
  <w:endnote w:type="continuationSeparator" w:id="0">
    <w:p w:rsidR="001B757F" w:rsidRDefault="001B757F" w:rsidP="0056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F28" w:rsidRDefault="00563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F28" w:rsidRDefault="00563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F28" w:rsidRDefault="0056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57F" w:rsidRDefault="001B757F" w:rsidP="00563F28">
      <w:r>
        <w:separator/>
      </w:r>
    </w:p>
  </w:footnote>
  <w:footnote w:type="continuationSeparator" w:id="0">
    <w:p w:rsidR="001B757F" w:rsidRDefault="001B757F" w:rsidP="0056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F28" w:rsidRDefault="0056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F28" w:rsidRDefault="00563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F28" w:rsidRDefault="00563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66E48"/>
    <w:multiLevelType w:val="hybridMultilevel"/>
    <w:tmpl w:val="11647ACA"/>
    <w:lvl w:ilvl="0" w:tplc="131A316E">
      <w:start w:val="1"/>
      <w:numFmt w:val="decimal"/>
      <w:lvlText w:val="%1."/>
      <w:lvlJc w:val="left"/>
      <w:pPr>
        <w:ind w:left="120" w:hanging="576"/>
        <w:jc w:val="left"/>
      </w:pPr>
      <w:rPr>
        <w:rFonts w:ascii="Courier New" w:eastAsia="Courier New" w:hAnsi="Courier New" w:cs="Courier New" w:hint="default"/>
        <w:w w:val="99"/>
        <w:sz w:val="24"/>
        <w:szCs w:val="24"/>
      </w:rPr>
    </w:lvl>
    <w:lvl w:ilvl="1" w:tplc="BF6AD8FE">
      <w:numFmt w:val="bullet"/>
      <w:lvlText w:val="•"/>
      <w:lvlJc w:val="left"/>
      <w:pPr>
        <w:ind w:left="1068" w:hanging="576"/>
      </w:pPr>
      <w:rPr>
        <w:rFonts w:hint="default"/>
      </w:rPr>
    </w:lvl>
    <w:lvl w:ilvl="2" w:tplc="00A2BA58">
      <w:numFmt w:val="bullet"/>
      <w:lvlText w:val="•"/>
      <w:lvlJc w:val="left"/>
      <w:pPr>
        <w:ind w:left="2016" w:hanging="576"/>
      </w:pPr>
      <w:rPr>
        <w:rFonts w:hint="default"/>
      </w:rPr>
    </w:lvl>
    <w:lvl w:ilvl="3" w:tplc="5372A726">
      <w:numFmt w:val="bullet"/>
      <w:lvlText w:val="•"/>
      <w:lvlJc w:val="left"/>
      <w:pPr>
        <w:ind w:left="2964" w:hanging="576"/>
      </w:pPr>
      <w:rPr>
        <w:rFonts w:hint="default"/>
      </w:rPr>
    </w:lvl>
    <w:lvl w:ilvl="4" w:tplc="D58C1E98">
      <w:numFmt w:val="bullet"/>
      <w:lvlText w:val="•"/>
      <w:lvlJc w:val="left"/>
      <w:pPr>
        <w:ind w:left="3912" w:hanging="576"/>
      </w:pPr>
      <w:rPr>
        <w:rFonts w:hint="default"/>
      </w:rPr>
    </w:lvl>
    <w:lvl w:ilvl="5" w:tplc="367EE3EE">
      <w:numFmt w:val="bullet"/>
      <w:lvlText w:val="•"/>
      <w:lvlJc w:val="left"/>
      <w:pPr>
        <w:ind w:left="4860" w:hanging="576"/>
      </w:pPr>
      <w:rPr>
        <w:rFonts w:hint="default"/>
      </w:rPr>
    </w:lvl>
    <w:lvl w:ilvl="6" w:tplc="D4A69B66">
      <w:numFmt w:val="bullet"/>
      <w:lvlText w:val="•"/>
      <w:lvlJc w:val="left"/>
      <w:pPr>
        <w:ind w:left="5808" w:hanging="576"/>
      </w:pPr>
      <w:rPr>
        <w:rFonts w:hint="default"/>
      </w:rPr>
    </w:lvl>
    <w:lvl w:ilvl="7" w:tplc="4518F530">
      <w:numFmt w:val="bullet"/>
      <w:lvlText w:val="•"/>
      <w:lvlJc w:val="left"/>
      <w:pPr>
        <w:ind w:left="6756" w:hanging="576"/>
      </w:pPr>
      <w:rPr>
        <w:rFonts w:hint="default"/>
      </w:rPr>
    </w:lvl>
    <w:lvl w:ilvl="8" w:tplc="D81C53CA">
      <w:numFmt w:val="bullet"/>
      <w:lvlText w:val="•"/>
      <w:lvlJc w:val="left"/>
      <w:pPr>
        <w:ind w:left="7704" w:hanging="576"/>
      </w:pPr>
      <w:rPr>
        <w:rFonts w:hint="default"/>
      </w:rPr>
    </w:lvl>
  </w:abstractNum>
  <w:abstractNum w:abstractNumId="1" w15:restartNumberingAfterBreak="0">
    <w:nsid w:val="7C290A09"/>
    <w:multiLevelType w:val="hybridMultilevel"/>
    <w:tmpl w:val="7C50957C"/>
    <w:lvl w:ilvl="0" w:tplc="5CFA4CE4">
      <w:start w:val="1"/>
      <w:numFmt w:val="decimal"/>
      <w:lvlText w:val="%1."/>
      <w:lvlJc w:val="left"/>
      <w:pPr>
        <w:ind w:left="120" w:hanging="576"/>
        <w:jc w:val="left"/>
      </w:pPr>
      <w:rPr>
        <w:rFonts w:ascii="Courier New" w:eastAsia="Courier New" w:hAnsi="Courier New" w:cs="Courier New" w:hint="default"/>
        <w:w w:val="99"/>
        <w:sz w:val="24"/>
        <w:szCs w:val="24"/>
      </w:rPr>
    </w:lvl>
    <w:lvl w:ilvl="1" w:tplc="3FA0465E">
      <w:numFmt w:val="bullet"/>
      <w:lvlText w:val="•"/>
      <w:lvlJc w:val="left"/>
      <w:pPr>
        <w:ind w:left="1068" w:hanging="576"/>
      </w:pPr>
      <w:rPr>
        <w:rFonts w:hint="default"/>
      </w:rPr>
    </w:lvl>
    <w:lvl w:ilvl="2" w:tplc="EB5E32D8">
      <w:numFmt w:val="bullet"/>
      <w:lvlText w:val="•"/>
      <w:lvlJc w:val="left"/>
      <w:pPr>
        <w:ind w:left="2016" w:hanging="576"/>
      </w:pPr>
      <w:rPr>
        <w:rFonts w:hint="default"/>
      </w:rPr>
    </w:lvl>
    <w:lvl w:ilvl="3" w:tplc="09C08792">
      <w:numFmt w:val="bullet"/>
      <w:lvlText w:val="•"/>
      <w:lvlJc w:val="left"/>
      <w:pPr>
        <w:ind w:left="2964" w:hanging="576"/>
      </w:pPr>
      <w:rPr>
        <w:rFonts w:hint="default"/>
      </w:rPr>
    </w:lvl>
    <w:lvl w:ilvl="4" w:tplc="837EEF2C">
      <w:numFmt w:val="bullet"/>
      <w:lvlText w:val="•"/>
      <w:lvlJc w:val="left"/>
      <w:pPr>
        <w:ind w:left="3912" w:hanging="576"/>
      </w:pPr>
      <w:rPr>
        <w:rFonts w:hint="default"/>
      </w:rPr>
    </w:lvl>
    <w:lvl w:ilvl="5" w:tplc="2A509868">
      <w:numFmt w:val="bullet"/>
      <w:lvlText w:val="•"/>
      <w:lvlJc w:val="left"/>
      <w:pPr>
        <w:ind w:left="4860" w:hanging="576"/>
      </w:pPr>
      <w:rPr>
        <w:rFonts w:hint="default"/>
      </w:rPr>
    </w:lvl>
    <w:lvl w:ilvl="6" w:tplc="3A8C8966">
      <w:numFmt w:val="bullet"/>
      <w:lvlText w:val="•"/>
      <w:lvlJc w:val="left"/>
      <w:pPr>
        <w:ind w:left="5808" w:hanging="576"/>
      </w:pPr>
      <w:rPr>
        <w:rFonts w:hint="default"/>
      </w:rPr>
    </w:lvl>
    <w:lvl w:ilvl="7" w:tplc="ACCC8BF2">
      <w:numFmt w:val="bullet"/>
      <w:lvlText w:val="•"/>
      <w:lvlJc w:val="left"/>
      <w:pPr>
        <w:ind w:left="6756" w:hanging="576"/>
      </w:pPr>
      <w:rPr>
        <w:rFonts w:hint="default"/>
      </w:rPr>
    </w:lvl>
    <w:lvl w:ilvl="8" w:tplc="3D8225BE">
      <w:numFmt w:val="bullet"/>
      <w:lvlText w:val="•"/>
      <w:lvlJc w:val="left"/>
      <w:pPr>
        <w:ind w:left="7704" w:hanging="57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1E093E"/>
    <w:rsid w:val="001B757F"/>
    <w:rsid w:val="001E093E"/>
    <w:rsid w:val="00563F28"/>
    <w:rsid w:val="005A261D"/>
    <w:rsid w:val="0070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40" w:lineRule="exact"/>
      <w:ind w:left="120" w:righ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3F28"/>
    <w:pPr>
      <w:tabs>
        <w:tab w:val="center" w:pos="4680"/>
        <w:tab w:val="right" w:pos="9360"/>
      </w:tabs>
    </w:pPr>
  </w:style>
  <w:style w:type="character" w:customStyle="1" w:styleId="HeaderChar">
    <w:name w:val="Header Char"/>
    <w:basedOn w:val="DefaultParagraphFont"/>
    <w:link w:val="Header"/>
    <w:uiPriority w:val="99"/>
    <w:rsid w:val="00563F28"/>
    <w:rPr>
      <w:rFonts w:ascii="Courier New" w:eastAsia="Courier New" w:hAnsi="Courier New" w:cs="Courier New"/>
    </w:rPr>
  </w:style>
  <w:style w:type="paragraph" w:styleId="Footer">
    <w:name w:val="footer"/>
    <w:basedOn w:val="Normal"/>
    <w:link w:val="FooterChar"/>
    <w:uiPriority w:val="99"/>
    <w:unhideWhenUsed/>
    <w:rsid w:val="00563F28"/>
    <w:pPr>
      <w:tabs>
        <w:tab w:val="center" w:pos="4680"/>
        <w:tab w:val="right" w:pos="9360"/>
      </w:tabs>
    </w:pPr>
  </w:style>
  <w:style w:type="character" w:customStyle="1" w:styleId="FooterChar">
    <w:name w:val="Footer Char"/>
    <w:basedOn w:val="DefaultParagraphFont"/>
    <w:link w:val="Footer"/>
    <w:uiPriority w:val="99"/>
    <w:rsid w:val="00563F28"/>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2020-05-29T13:59:00Z</dcterms:created>
  <dcterms:modified xsi:type="dcterms:W3CDTF">2020-06-01T16:17:00Z</dcterms:modified>
</cp:coreProperties>
</file>