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7D154A" w:rsidRPr="007D154A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7D154A" w:rsidRDefault="00DC2098" w:rsidP="00BF4443">
            <w:pPr>
              <w:pStyle w:val="BodyText"/>
              <w:rPr>
                <w:b/>
              </w:rPr>
            </w:pPr>
            <w:r w:rsidRPr="007D154A">
              <w:t xml:space="preserve">                                                                                                                                                     </w:t>
            </w:r>
            <w:r w:rsidRPr="007D154A">
              <w:rPr>
                <w:b/>
              </w:rPr>
              <w:t xml:space="preserve">AIR FORCE DISCHARGE REVIEW BOARD DECISIONAL </w:t>
            </w:r>
            <w:r w:rsidR="000E4C20" w:rsidRPr="007D154A">
              <w:rPr>
                <w:b/>
              </w:rPr>
              <w:t>DOCUMENT</w:t>
            </w:r>
            <w:r w:rsidRPr="007D154A">
              <w:rPr>
                <w:b/>
              </w:rPr>
              <w:t xml:space="preserve">  </w:t>
            </w:r>
          </w:p>
          <w:p w:rsidR="00DC2098" w:rsidRPr="007D154A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7D154A" w:rsidRDefault="00DC2098">
            <w:pPr>
              <w:pStyle w:val="Heading1"/>
            </w:pPr>
            <w:r w:rsidRPr="007D154A">
              <w:t>CASE NUMBER</w:t>
            </w:r>
          </w:p>
          <w:p w:rsidR="00DC2098" w:rsidRPr="007D154A" w:rsidRDefault="00DC2098"/>
          <w:p w:rsidR="00DC2098" w:rsidRPr="007D154A" w:rsidRDefault="00DC2098" w:rsidP="00FF186E">
            <w:pPr>
              <w:rPr>
                <w:sz w:val="24"/>
                <w:szCs w:val="24"/>
              </w:rPr>
            </w:pPr>
            <w:r w:rsidRPr="007D154A">
              <w:rPr>
                <w:sz w:val="24"/>
                <w:szCs w:val="24"/>
              </w:rPr>
              <w:t xml:space="preserve"> </w:t>
            </w:r>
            <w:r w:rsidR="00FF186E" w:rsidRPr="007D154A">
              <w:rPr>
                <w:bCs/>
                <w:sz w:val="24"/>
                <w:szCs w:val="24"/>
              </w:rPr>
              <w:t>FD-2019-00453</w:t>
            </w:r>
          </w:p>
        </w:tc>
      </w:tr>
      <w:tr w:rsidR="00243C1B" w:rsidRPr="007D154A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7D154A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7D154A">
              <w:rPr>
                <w:sz w:val="24"/>
              </w:rPr>
              <w:tab/>
            </w:r>
            <w:r w:rsidRPr="007D154A">
              <w:rPr>
                <w:sz w:val="24"/>
              </w:rPr>
              <w:tab/>
            </w:r>
            <w:r w:rsidRPr="007D154A">
              <w:rPr>
                <w:sz w:val="24"/>
              </w:rPr>
              <w:tab/>
            </w:r>
            <w:r w:rsidRPr="007D154A">
              <w:rPr>
                <w:sz w:val="24"/>
              </w:rPr>
              <w:tab/>
            </w:r>
            <w:r w:rsidRPr="007D154A">
              <w:rPr>
                <w:sz w:val="24"/>
              </w:rPr>
              <w:tab/>
            </w:r>
          </w:p>
          <w:p w:rsidR="00F141CF" w:rsidRPr="007D154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Cs/>
                <w:sz w:val="24"/>
                <w:szCs w:val="24"/>
              </w:rPr>
              <w:t xml:space="preserve">GENERAL:  </w:t>
            </w:r>
            <w:r w:rsidRPr="007D154A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7D154A">
              <w:rPr>
                <w:b w:val="0"/>
                <w:sz w:val="24"/>
                <w:szCs w:val="24"/>
              </w:rPr>
              <w:t xml:space="preserve">was discharged on </w:t>
            </w:r>
            <w:r w:rsidR="00FF186E" w:rsidRPr="007D154A">
              <w:rPr>
                <w:b w:val="0"/>
                <w:sz w:val="24"/>
                <w:szCs w:val="24"/>
              </w:rPr>
              <w:t>01 Oct 2015</w:t>
            </w:r>
            <w:r w:rsidR="000E4C20" w:rsidRPr="007D154A">
              <w:rPr>
                <w:b w:val="0"/>
                <w:sz w:val="24"/>
                <w:szCs w:val="24"/>
              </w:rPr>
              <w:t xml:space="preserve"> </w:t>
            </w:r>
            <w:r w:rsidR="00FA013D" w:rsidRPr="007D154A">
              <w:rPr>
                <w:b w:val="0"/>
                <w:sz w:val="24"/>
                <w:szCs w:val="24"/>
              </w:rPr>
              <w:t xml:space="preserve">in accordance with </w:t>
            </w:r>
            <w:r w:rsidR="00FF186E" w:rsidRPr="007D154A">
              <w:rPr>
                <w:b w:val="0"/>
                <w:sz w:val="24"/>
                <w:szCs w:val="24"/>
              </w:rPr>
              <w:t>AFI 36-3209</w:t>
            </w:r>
            <w:r w:rsidR="000E4C20" w:rsidRPr="007D154A">
              <w:rPr>
                <w:b w:val="0"/>
                <w:sz w:val="24"/>
                <w:szCs w:val="24"/>
              </w:rPr>
              <w:t xml:space="preserve"> with a(n) Honorable discharge.  The applicant </w:t>
            </w:r>
            <w:r w:rsidRPr="007D154A">
              <w:rPr>
                <w:b w:val="0"/>
                <w:sz w:val="24"/>
                <w:szCs w:val="24"/>
              </w:rPr>
              <w:t>appeal</w:t>
            </w:r>
            <w:r w:rsidR="000E4C20" w:rsidRPr="007D154A">
              <w:rPr>
                <w:b w:val="0"/>
                <w:sz w:val="24"/>
                <w:szCs w:val="24"/>
              </w:rPr>
              <w:t>ed</w:t>
            </w:r>
            <w:r w:rsidR="00102916" w:rsidRPr="007D154A">
              <w:rPr>
                <w:b w:val="0"/>
                <w:sz w:val="24"/>
                <w:szCs w:val="24"/>
              </w:rPr>
              <w:t xml:space="preserve"> for</w:t>
            </w:r>
            <w:r w:rsidR="000E4C20" w:rsidRPr="007D154A">
              <w:rPr>
                <w:b w:val="0"/>
                <w:sz w:val="24"/>
                <w:szCs w:val="24"/>
              </w:rPr>
              <w:t xml:space="preserve"> a change to the</w:t>
            </w:r>
            <w:r w:rsidR="001770AB" w:rsidRPr="007D154A">
              <w:rPr>
                <w:b w:val="0"/>
                <w:sz w:val="24"/>
                <w:szCs w:val="24"/>
              </w:rPr>
              <w:t xml:space="preserve"> discharge</w:t>
            </w:r>
            <w:r w:rsidR="000E4C20" w:rsidRPr="007D154A">
              <w:rPr>
                <w:b w:val="0"/>
                <w:sz w:val="24"/>
                <w:szCs w:val="24"/>
              </w:rPr>
              <w:t xml:space="preserve"> </w:t>
            </w:r>
            <w:r w:rsidR="00637506" w:rsidRPr="007D154A">
              <w:rPr>
                <w:b w:val="0"/>
                <w:sz w:val="24"/>
                <w:szCs w:val="24"/>
              </w:rPr>
              <w:t xml:space="preserve">narrative </w:t>
            </w:r>
            <w:r w:rsidR="00FF186E" w:rsidRPr="007D154A">
              <w:rPr>
                <w:b w:val="0"/>
                <w:sz w:val="24"/>
                <w:szCs w:val="24"/>
              </w:rPr>
              <w:t>reason</w:t>
            </w:r>
            <w:r w:rsidR="000E4C20" w:rsidRPr="007D154A">
              <w:rPr>
                <w:b w:val="0"/>
                <w:sz w:val="24"/>
                <w:szCs w:val="24"/>
              </w:rPr>
              <w:t>.</w:t>
            </w:r>
            <w:r w:rsidR="00B439B9" w:rsidRPr="007D154A">
              <w:rPr>
                <w:b w:val="0"/>
                <w:sz w:val="24"/>
                <w:szCs w:val="24"/>
              </w:rPr>
              <w:t xml:space="preserve">  The board was conducted on </w:t>
            </w:r>
            <w:r w:rsidR="00FF186E" w:rsidRPr="007D154A">
              <w:rPr>
                <w:b w:val="0"/>
                <w:sz w:val="24"/>
                <w:szCs w:val="24"/>
              </w:rPr>
              <w:t>10 Mar 2020</w:t>
            </w:r>
            <w:r w:rsidR="00B439B9" w:rsidRPr="007D154A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7D154A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A3E29" w:rsidRPr="007D154A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7D154A">
              <w:rPr>
                <w:b w:val="0"/>
                <w:sz w:val="24"/>
                <w:szCs w:val="24"/>
              </w:rPr>
              <w:t>,</w:t>
            </w:r>
            <w:r w:rsidRPr="007D154A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7D154A">
              <w:rPr>
                <w:b w:val="0"/>
                <w:sz w:val="24"/>
                <w:szCs w:val="24"/>
              </w:rPr>
              <w:t>ed</w:t>
            </w:r>
            <w:r w:rsidRPr="007D154A">
              <w:rPr>
                <w:b w:val="0"/>
                <w:sz w:val="24"/>
                <w:szCs w:val="24"/>
              </w:rPr>
              <w:t xml:space="preserve"> the </w:t>
            </w:r>
            <w:r w:rsidR="00E42888" w:rsidRPr="007D154A">
              <w:rPr>
                <w:b w:val="0"/>
                <w:sz w:val="24"/>
                <w:szCs w:val="24"/>
              </w:rPr>
              <w:t xml:space="preserve">board </w:t>
            </w:r>
            <w:r w:rsidRPr="007D154A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7D154A">
              <w:rPr>
                <w:b w:val="0"/>
                <w:sz w:val="24"/>
                <w:szCs w:val="24"/>
              </w:rPr>
              <w:t xml:space="preserve">based </w:t>
            </w:r>
            <w:r w:rsidRPr="007D154A">
              <w:rPr>
                <w:b w:val="0"/>
                <w:sz w:val="24"/>
                <w:szCs w:val="24"/>
              </w:rPr>
              <w:t xml:space="preserve">on </w:t>
            </w:r>
            <w:r w:rsidR="00E42888" w:rsidRPr="007D154A">
              <w:rPr>
                <w:b w:val="0"/>
                <w:sz w:val="24"/>
                <w:szCs w:val="24"/>
              </w:rPr>
              <w:t xml:space="preserve">a records only review.  </w:t>
            </w:r>
          </w:p>
          <w:p w:rsidR="000A3E29" w:rsidRPr="007D154A" w:rsidRDefault="000A3E2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7D154A" w:rsidRDefault="00FA013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7D154A">
              <w:rPr>
                <w:b w:val="0"/>
                <w:sz w:val="24"/>
                <w:szCs w:val="24"/>
              </w:rPr>
              <w:t xml:space="preserve">. </w:t>
            </w:r>
            <w:r w:rsidRPr="007D154A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7D154A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320150" w:rsidRPr="007D154A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Cs/>
                <w:sz w:val="24"/>
                <w:szCs w:val="24"/>
              </w:rPr>
              <w:t>FINDING</w:t>
            </w:r>
            <w:r w:rsidRPr="007D154A">
              <w:rPr>
                <w:b w:val="0"/>
                <w:sz w:val="24"/>
                <w:szCs w:val="24"/>
              </w:rPr>
              <w:t xml:space="preserve">:  </w:t>
            </w:r>
            <w:r w:rsidR="00320150" w:rsidRPr="007D154A">
              <w:rPr>
                <w:b w:val="0"/>
                <w:sz w:val="24"/>
                <w:szCs w:val="24"/>
              </w:rPr>
              <w:t xml:space="preserve">The </w:t>
            </w:r>
            <w:r w:rsidR="00F554B0" w:rsidRPr="007D154A">
              <w:rPr>
                <w:b w:val="0"/>
                <w:sz w:val="24"/>
                <w:szCs w:val="24"/>
              </w:rPr>
              <w:t>DR</w:t>
            </w:r>
            <w:r w:rsidR="00320150" w:rsidRPr="007D154A">
              <w:rPr>
                <w:b w:val="0"/>
                <w:sz w:val="24"/>
                <w:szCs w:val="24"/>
              </w:rPr>
              <w:t xml:space="preserve">B voted unanimously to </w:t>
            </w:r>
            <w:r w:rsidR="00320150" w:rsidRPr="007D154A">
              <w:rPr>
                <w:i/>
                <w:sz w:val="24"/>
                <w:szCs w:val="24"/>
              </w:rPr>
              <w:t>deny</w:t>
            </w:r>
            <w:r w:rsidR="00320150" w:rsidRPr="007D154A">
              <w:rPr>
                <w:b w:val="0"/>
                <w:sz w:val="24"/>
                <w:szCs w:val="24"/>
              </w:rPr>
              <w:t xml:space="preserve"> the applicant’s request to change the </w:t>
            </w:r>
            <w:r w:rsidR="00182BF0" w:rsidRPr="007D154A">
              <w:rPr>
                <w:b w:val="0"/>
                <w:sz w:val="24"/>
                <w:szCs w:val="24"/>
              </w:rPr>
              <w:t xml:space="preserve">discharge </w:t>
            </w:r>
            <w:r w:rsidR="00637506" w:rsidRPr="007D154A">
              <w:rPr>
                <w:b w:val="0"/>
                <w:sz w:val="24"/>
                <w:szCs w:val="24"/>
              </w:rPr>
              <w:t xml:space="preserve">narrative </w:t>
            </w:r>
            <w:r w:rsidR="00320150" w:rsidRPr="007D154A">
              <w:rPr>
                <w:b w:val="0"/>
                <w:sz w:val="24"/>
                <w:szCs w:val="24"/>
              </w:rPr>
              <w:t>reason.</w:t>
            </w:r>
            <w:r w:rsidR="007F4DBA" w:rsidRPr="007D154A">
              <w:rPr>
                <w:b w:val="0"/>
                <w:sz w:val="24"/>
                <w:szCs w:val="24"/>
              </w:rPr>
              <w:t xml:space="preserve">  The board found that the most current discharge document in the applicant’s record did not have a specific narrative reasoning, it also cannot give a less favorable discharge reasoning than issued at the time of separation.</w:t>
            </w:r>
          </w:p>
          <w:p w:rsidR="00D61706" w:rsidRPr="007D154A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7D154A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Cs/>
                <w:sz w:val="24"/>
                <w:szCs w:val="24"/>
              </w:rPr>
              <w:t>DISCUSSION</w:t>
            </w:r>
            <w:r w:rsidRPr="007D154A">
              <w:rPr>
                <w:b w:val="0"/>
                <w:sz w:val="24"/>
                <w:szCs w:val="24"/>
              </w:rPr>
              <w:t xml:space="preserve">:  </w:t>
            </w:r>
            <w:r w:rsidR="00717CE9" w:rsidRPr="007D154A">
              <w:rPr>
                <w:b w:val="0"/>
                <w:sz w:val="24"/>
                <w:szCs w:val="24"/>
              </w:rPr>
              <w:t xml:space="preserve">The </w:t>
            </w:r>
            <w:r w:rsidR="00F554B0" w:rsidRPr="007D154A">
              <w:rPr>
                <w:b w:val="0"/>
                <w:sz w:val="24"/>
                <w:szCs w:val="24"/>
              </w:rPr>
              <w:t xml:space="preserve">DRB, </w:t>
            </w:r>
            <w:r w:rsidR="00717CE9" w:rsidRPr="007D154A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7D154A">
              <w:rPr>
                <w:b w:val="0"/>
                <w:sz w:val="24"/>
                <w:szCs w:val="24"/>
              </w:rPr>
              <w:t xml:space="preserve">narrative </w:t>
            </w:r>
            <w:r w:rsidR="00717CE9" w:rsidRPr="007D154A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7D154A">
              <w:rPr>
                <w:b w:val="0"/>
                <w:sz w:val="24"/>
                <w:szCs w:val="24"/>
              </w:rPr>
              <w:t>s</w:t>
            </w:r>
            <w:r w:rsidR="00717CE9" w:rsidRPr="007D154A">
              <w:rPr>
                <w:b w:val="0"/>
                <w:sz w:val="24"/>
                <w:szCs w:val="24"/>
              </w:rPr>
              <w:t xml:space="preserve"> </w:t>
            </w:r>
            <w:r w:rsidR="00F554B0" w:rsidRPr="007D154A">
              <w:rPr>
                <w:b w:val="0"/>
                <w:sz w:val="24"/>
                <w:szCs w:val="24"/>
              </w:rPr>
              <w:t>are</w:t>
            </w:r>
            <w:r w:rsidR="00717CE9" w:rsidRPr="007D154A">
              <w:rPr>
                <w:b w:val="0"/>
                <w:sz w:val="24"/>
                <w:szCs w:val="24"/>
              </w:rPr>
              <w:t xml:space="preserve"> warranted.</w:t>
            </w:r>
            <w:r w:rsidR="00F554B0" w:rsidRPr="007D154A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7D154A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7D154A">
              <w:rPr>
                <w:b w:val="0"/>
                <w:sz w:val="24"/>
                <w:szCs w:val="24"/>
              </w:rPr>
              <w:t>b</w:t>
            </w:r>
            <w:r w:rsidR="00717CE9" w:rsidRPr="007D154A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7D154A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7D154A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F00E1" w:rsidRPr="007D154A" w:rsidRDefault="0010291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 w:val="0"/>
                <w:sz w:val="24"/>
                <w:szCs w:val="24"/>
              </w:rPr>
              <w:t>The a</w:t>
            </w:r>
            <w:r w:rsidR="00A6227A" w:rsidRPr="007D154A">
              <w:rPr>
                <w:b w:val="0"/>
                <w:sz w:val="24"/>
                <w:szCs w:val="24"/>
              </w:rPr>
              <w:t>pplicant</w:t>
            </w:r>
            <w:r w:rsidR="00F141CF" w:rsidRPr="007D154A">
              <w:rPr>
                <w:b w:val="0"/>
                <w:sz w:val="24"/>
                <w:szCs w:val="24"/>
              </w:rPr>
              <w:t xml:space="preserve"> contend</w:t>
            </w:r>
            <w:r w:rsidR="008F6151" w:rsidRPr="007D154A">
              <w:rPr>
                <w:b w:val="0"/>
                <w:sz w:val="24"/>
                <w:szCs w:val="24"/>
              </w:rPr>
              <w:t>ed</w:t>
            </w:r>
            <w:r w:rsidR="00F141CF" w:rsidRPr="007D154A">
              <w:rPr>
                <w:b w:val="0"/>
                <w:sz w:val="24"/>
                <w:szCs w:val="24"/>
              </w:rPr>
              <w:t xml:space="preserve"> </w:t>
            </w:r>
            <w:r w:rsidR="00A043FD" w:rsidRPr="007D154A">
              <w:rPr>
                <w:b w:val="0"/>
                <w:sz w:val="24"/>
                <w:szCs w:val="24"/>
              </w:rPr>
              <w:t xml:space="preserve">the </w:t>
            </w:r>
            <w:r w:rsidR="00F141CF" w:rsidRPr="007D154A">
              <w:rPr>
                <w:b w:val="0"/>
                <w:sz w:val="24"/>
                <w:szCs w:val="24"/>
              </w:rPr>
              <w:t xml:space="preserve">discharge was </w:t>
            </w:r>
            <w:r w:rsidR="007F4DBA" w:rsidRPr="007D154A">
              <w:rPr>
                <w:b w:val="0"/>
                <w:sz w:val="24"/>
                <w:szCs w:val="24"/>
              </w:rPr>
              <w:t>improper</w:t>
            </w:r>
            <w:r w:rsidR="00F141CF" w:rsidRPr="007D154A">
              <w:rPr>
                <w:b w:val="0"/>
                <w:sz w:val="24"/>
                <w:szCs w:val="24"/>
              </w:rPr>
              <w:t xml:space="preserve"> because </w:t>
            </w:r>
            <w:r w:rsidR="007F4DBA" w:rsidRPr="007D154A">
              <w:rPr>
                <w:b w:val="0"/>
                <w:sz w:val="24"/>
                <w:szCs w:val="24"/>
              </w:rPr>
              <w:t>she was never notified of being passed over for promotion</w:t>
            </w:r>
            <w:r w:rsidR="00F141CF" w:rsidRPr="007D154A">
              <w:rPr>
                <w:b w:val="0"/>
                <w:sz w:val="24"/>
                <w:szCs w:val="24"/>
              </w:rPr>
              <w:t xml:space="preserve">.  </w:t>
            </w:r>
            <w:r w:rsidR="006F00E1" w:rsidRPr="007D154A">
              <w:rPr>
                <w:b w:val="0"/>
                <w:sz w:val="24"/>
                <w:szCs w:val="24"/>
              </w:rPr>
              <w:t>The applicant states that if she knew that she was passed over for promotion, then she would have compiled a promotion package and finish the requirements to meet the board in a timely manner.  She insists that none of her records verify her receipt of the initial pass over notification.</w:t>
            </w:r>
          </w:p>
          <w:p w:rsidR="006F00E1" w:rsidRPr="007D154A" w:rsidRDefault="006F00E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F00E1" w:rsidRPr="007D154A" w:rsidRDefault="006F00E1" w:rsidP="006F00E1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 w:val="0"/>
                <w:sz w:val="24"/>
                <w:szCs w:val="24"/>
              </w:rPr>
              <w:t>A change is warranted only if it is established that an inequity or impropriety took place at the time of discharge.  After a thorough review of the record, the board found no evidence to justify making any changes to the discharge.</w:t>
            </w:r>
          </w:p>
          <w:p w:rsidR="00A043FD" w:rsidRPr="007D154A" w:rsidRDefault="00A043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F7BFF" w:rsidRPr="007D154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D154A">
              <w:rPr>
                <w:bCs/>
                <w:sz w:val="24"/>
                <w:szCs w:val="24"/>
              </w:rPr>
              <w:t xml:space="preserve">CONCLUSION:  </w:t>
            </w:r>
          </w:p>
          <w:p w:rsidR="00A20E0C" w:rsidRPr="007D154A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7D154A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 w:val="0"/>
                <w:sz w:val="24"/>
                <w:szCs w:val="24"/>
              </w:rPr>
              <w:t xml:space="preserve">The board found insufficient evidence of an inequity or impropriety that would warrant a change to the applicant’s </w:t>
            </w:r>
            <w:r w:rsidR="006F00E1" w:rsidRPr="007D154A">
              <w:rPr>
                <w:b w:val="0"/>
                <w:sz w:val="24"/>
                <w:szCs w:val="24"/>
              </w:rPr>
              <w:t>narrative reasoning</w:t>
            </w:r>
            <w:r w:rsidRPr="007D154A">
              <w:rPr>
                <w:b w:val="0"/>
                <w:sz w:val="24"/>
                <w:szCs w:val="24"/>
              </w:rPr>
              <w:t>.  Therefore, the discharge received by the applicant was deemed to be appropriate and her request was not approved.</w:t>
            </w:r>
            <w:r w:rsidR="00EF7BFF" w:rsidRPr="007D154A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7D154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7D154A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D154A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7D154A">
              <w:rPr>
                <w:b w:val="0"/>
                <w:bCs/>
                <w:sz w:val="24"/>
                <w:szCs w:val="24"/>
              </w:rPr>
              <w:t>DR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7D154A">
              <w:rPr>
                <w:b w:val="0"/>
                <w:bCs/>
                <w:sz w:val="24"/>
                <w:szCs w:val="24"/>
              </w:rPr>
              <w:t>b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7D154A">
              <w:rPr>
                <w:b w:val="0"/>
                <w:bCs/>
                <w:sz w:val="24"/>
                <w:szCs w:val="24"/>
              </w:rPr>
              <w:t>p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A70E3F">
              <w:rPr>
                <w:b w:val="0"/>
                <w:bCs/>
                <w:sz w:val="24"/>
                <w:szCs w:val="24"/>
              </w:rPr>
              <w:t>27 Apr 20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7D154A">
              <w:rPr>
                <w:b w:val="0"/>
                <w:bCs/>
                <w:sz w:val="24"/>
                <w:szCs w:val="24"/>
              </w:rPr>
              <w:t>If desired, t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7D154A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7D154A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7D154A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7D154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7D154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D154A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7D154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D154A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7D154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7D154A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7D154A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D154A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7D154A">
              <w:rPr>
                <w:bCs/>
                <w:sz w:val="24"/>
                <w:szCs w:val="24"/>
              </w:rPr>
              <w:t xml:space="preserve">  </w:t>
            </w:r>
          </w:p>
          <w:p w:rsidR="00707142" w:rsidRPr="007D154A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7D154A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7D154A">
              <w:rPr>
                <w:b w:val="0"/>
                <w:sz w:val="24"/>
                <w:szCs w:val="24"/>
              </w:rPr>
              <w:t>Attachment:</w:t>
            </w:r>
          </w:p>
          <w:p w:rsidR="00243C1B" w:rsidRPr="007D154A" w:rsidRDefault="000A3E29" w:rsidP="00623732">
            <w:pPr>
              <w:pStyle w:val="Heading4"/>
            </w:pPr>
            <w:r w:rsidRPr="007D154A">
              <w:rPr>
                <w:szCs w:val="24"/>
              </w:rPr>
              <w:t>Examiner's Brief (Applicant Only)</w:t>
            </w:r>
          </w:p>
        </w:tc>
        <w:bookmarkStart w:id="0" w:name="_GoBack"/>
        <w:bookmarkEnd w:id="0"/>
      </w:tr>
    </w:tbl>
    <w:p w:rsidR="00DC2098" w:rsidRPr="007D154A" w:rsidRDefault="00DC2098" w:rsidP="00E01AEE"/>
    <w:sectPr w:rsidR="00DC2098" w:rsidRPr="007D1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07E" w:rsidRDefault="00E0307E" w:rsidP="00E0307E">
      <w:r>
        <w:separator/>
      </w:r>
    </w:p>
  </w:endnote>
  <w:endnote w:type="continuationSeparator" w:id="0">
    <w:p w:rsidR="00E0307E" w:rsidRDefault="00E0307E" w:rsidP="00E0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7E" w:rsidRDefault="00E03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7E" w:rsidRDefault="00E03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7E" w:rsidRDefault="00E03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07E" w:rsidRDefault="00E0307E" w:rsidP="00E0307E">
      <w:r>
        <w:separator/>
      </w:r>
    </w:p>
  </w:footnote>
  <w:footnote w:type="continuationSeparator" w:id="0">
    <w:p w:rsidR="00E0307E" w:rsidRDefault="00E0307E" w:rsidP="00E0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7E" w:rsidRDefault="00E03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7E" w:rsidRDefault="00E03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07E" w:rsidRDefault="00E03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45A39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05D"/>
    <w:rsid w:val="00380395"/>
    <w:rsid w:val="003817DE"/>
    <w:rsid w:val="0039572D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6F00E1"/>
    <w:rsid w:val="007002DD"/>
    <w:rsid w:val="00707142"/>
    <w:rsid w:val="00710A8C"/>
    <w:rsid w:val="00717CE9"/>
    <w:rsid w:val="00791D10"/>
    <w:rsid w:val="007C57B4"/>
    <w:rsid w:val="007D154A"/>
    <w:rsid w:val="007F45E6"/>
    <w:rsid w:val="007F4DBA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70E3F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0307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045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45A39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E030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307E"/>
    <w:rPr>
      <w:b/>
    </w:rPr>
  </w:style>
  <w:style w:type="paragraph" w:styleId="Footer">
    <w:name w:val="footer"/>
    <w:basedOn w:val="Normal"/>
    <w:link w:val="FooterChar"/>
    <w:rsid w:val="00E030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030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2020-05-05T22:28:00Z</dcterms:created>
  <dcterms:modified xsi:type="dcterms:W3CDTF">2020-05-05T22:28:00Z</dcterms:modified>
</cp:coreProperties>
</file>