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507" w:rsidRDefault="002C03F9">
      <w:pPr>
        <w:pStyle w:val="BodyText"/>
        <w:spacing w:before="60" w:line="240" w:lineRule="exact"/>
        <w:ind w:left="2870" w:right="2850" w:firstLine="674"/>
      </w:pPr>
      <w:bookmarkStart w:id="0" w:name="_GoBack"/>
      <w:bookmarkEnd w:id="0"/>
      <w:r>
        <w:t>RECORD OF PROCEEDINGS PHYSICAL DISABILITY BOARD OF REVIEW</w:t>
      </w:r>
    </w:p>
    <w:p w:rsidR="009D1507" w:rsidRDefault="009D1507">
      <w:pPr>
        <w:pStyle w:val="BodyText"/>
        <w:spacing w:before="8"/>
        <w:rPr>
          <w:sz w:val="19"/>
        </w:rPr>
      </w:pPr>
    </w:p>
    <w:p w:rsidR="009D1507" w:rsidRDefault="002C03F9">
      <w:pPr>
        <w:pStyle w:val="BodyText"/>
        <w:tabs>
          <w:tab w:val="left" w:pos="6550"/>
          <w:tab w:val="left" w:pos="7339"/>
        </w:tabs>
        <w:spacing w:line="240" w:lineRule="exact"/>
        <w:ind w:left="160" w:right="154"/>
      </w:pPr>
      <w:r>
        <w:t>NAME:</w:t>
      </w:r>
      <w:r>
        <w:rPr>
          <w:spacing w:val="52"/>
        </w:rPr>
        <w:t xml:space="preserve"> </w:t>
      </w:r>
      <w:r>
        <w:t>XXXXXXXXXXXXXXXXXX</w:t>
      </w:r>
      <w:r>
        <w:tab/>
      </w:r>
      <w:r>
        <w:tab/>
        <w:t>CASE:</w:t>
      </w:r>
      <w:r>
        <w:rPr>
          <w:spacing w:val="51"/>
        </w:rPr>
        <w:t xml:space="preserve"> </w:t>
      </w:r>
      <w:r>
        <w:t>PD-2016-00341 BRANCH OF</w:t>
      </w:r>
      <w:r>
        <w:rPr>
          <w:spacing w:val="-5"/>
        </w:rPr>
        <w:t xml:space="preserve"> </w:t>
      </w:r>
      <w:r>
        <w:t>SERVICE:</w:t>
      </w:r>
      <w:r>
        <w:rPr>
          <w:spacing w:val="53"/>
        </w:rPr>
        <w:t xml:space="preserve"> </w:t>
      </w:r>
      <w:r>
        <w:t>ARMY</w:t>
      </w:r>
      <w:r>
        <w:tab/>
        <w:t>SEPARATION DATE:</w:t>
      </w:r>
      <w:r>
        <w:rPr>
          <w:spacing w:val="48"/>
        </w:rPr>
        <w:t xml:space="preserve"> </w:t>
      </w:r>
      <w:r>
        <w:t>20040726</w:t>
      </w:r>
    </w:p>
    <w:p w:rsidR="009D1507" w:rsidRDefault="002C03F9">
      <w:pPr>
        <w:pStyle w:val="BodyText"/>
        <w:spacing w:before="2"/>
        <w:rPr>
          <w:sz w:val="18"/>
        </w:rPr>
      </w:pPr>
      <w:r>
        <w:pict>
          <v:line id="_x0000_s1032" style="position:absolute;z-index:251654656;mso-wrap-distance-left:0;mso-wrap-distance-right:0;mso-position-horizontal-relative:page" from="70.6pt,13.8pt" to="541.55pt,13.8pt" strokeweight="1.44pt">
            <w10:wrap type="topAndBottom" anchorx="page"/>
          </v:line>
        </w:pict>
      </w:r>
    </w:p>
    <w:p w:rsidR="009D1507" w:rsidRDefault="009D1507">
      <w:pPr>
        <w:pStyle w:val="BodyText"/>
        <w:rPr>
          <w:sz w:val="10"/>
        </w:rPr>
      </w:pPr>
    </w:p>
    <w:p w:rsidR="009D1507" w:rsidRDefault="002C03F9">
      <w:pPr>
        <w:pStyle w:val="BodyText"/>
        <w:spacing w:before="89" w:line="240" w:lineRule="exact"/>
        <w:ind w:left="160" w:right="157"/>
        <w:jc w:val="both"/>
      </w:pPr>
      <w:r>
        <w:rPr>
          <w:u w:val="single"/>
        </w:rPr>
        <w:t>SUMMARY OF CASE</w:t>
      </w:r>
      <w:r>
        <w:t>: Data extracted from the available evidence of record reflects that this covered individual (CI) was an active duty E4, Avenger Crewmember, medically separated for “B12 deficiency” with a disability rating of 10%.</w:t>
      </w:r>
    </w:p>
    <w:p w:rsidR="009D1507" w:rsidRDefault="002C03F9">
      <w:pPr>
        <w:pStyle w:val="BodyText"/>
        <w:spacing w:before="2"/>
        <w:rPr>
          <w:sz w:val="18"/>
        </w:rPr>
      </w:pPr>
      <w:r>
        <w:pict>
          <v:line id="_x0000_s1031" style="position:absolute;z-index:251655680;mso-wrap-distance-left:0;mso-wrap-distance-right:0;mso-position-horizontal-relative:page" from="70.6pt,13.8pt" to="541.55pt,13.8pt" strokeweight="1.44pt">
            <w10:wrap type="topAndBottom" anchorx="page"/>
          </v:line>
        </w:pict>
      </w:r>
    </w:p>
    <w:p w:rsidR="009D1507" w:rsidRDefault="009D1507">
      <w:pPr>
        <w:pStyle w:val="BodyText"/>
        <w:rPr>
          <w:sz w:val="10"/>
        </w:rPr>
      </w:pPr>
    </w:p>
    <w:p w:rsidR="009D1507" w:rsidRDefault="002C03F9">
      <w:pPr>
        <w:pStyle w:val="BodyText"/>
        <w:tabs>
          <w:tab w:val="left" w:pos="8141"/>
        </w:tabs>
        <w:spacing w:before="89" w:line="240" w:lineRule="exact"/>
        <w:ind w:left="160" w:right="154"/>
      </w:pPr>
      <w:r>
        <w:rPr>
          <w:u w:val="single"/>
        </w:rPr>
        <w:t>CI  CONTENTION</w:t>
      </w:r>
      <w:r>
        <w:t>:   The</w:t>
      </w:r>
      <w:r>
        <w:rPr>
          <w:spacing w:val="-23"/>
        </w:rPr>
        <w:t xml:space="preserve"> </w:t>
      </w:r>
      <w:r>
        <w:t>CI  has  made  c</w:t>
      </w:r>
      <w:r>
        <w:t>ontention  for  his  mental  health</w:t>
      </w:r>
      <w:r>
        <w:rPr>
          <w:spacing w:val="42"/>
        </w:rPr>
        <w:t xml:space="preserve"> </w:t>
      </w:r>
      <w:r>
        <w:t>issues.</w:t>
      </w:r>
      <w:r>
        <w:tab/>
        <w:t>The</w:t>
      </w:r>
      <w:r>
        <w:rPr>
          <w:spacing w:val="38"/>
        </w:rPr>
        <w:t xml:space="preserve"> </w:t>
      </w:r>
      <w:r>
        <w:t>complete submission is at Exhibit</w:t>
      </w:r>
      <w:r>
        <w:rPr>
          <w:spacing w:val="-13"/>
        </w:rPr>
        <w:t xml:space="preserve"> </w:t>
      </w:r>
      <w:r>
        <w:t>A.</w:t>
      </w:r>
    </w:p>
    <w:p w:rsidR="009D1507" w:rsidRDefault="002C03F9">
      <w:pPr>
        <w:pStyle w:val="BodyText"/>
        <w:spacing w:before="2"/>
        <w:rPr>
          <w:sz w:val="18"/>
        </w:rPr>
      </w:pPr>
      <w:r>
        <w:pict>
          <v:line id="_x0000_s1030" style="position:absolute;z-index:251656704;mso-wrap-distance-left:0;mso-wrap-distance-right:0;mso-position-horizontal-relative:page" from="70.6pt,13.85pt" to="541.55pt,13.85pt" strokeweight=".51647mm">
            <w10:wrap type="topAndBottom" anchorx="page"/>
          </v:line>
        </w:pict>
      </w:r>
    </w:p>
    <w:p w:rsidR="009D1507" w:rsidRDefault="009D1507">
      <w:pPr>
        <w:pStyle w:val="BodyText"/>
        <w:rPr>
          <w:sz w:val="10"/>
        </w:rPr>
      </w:pPr>
    </w:p>
    <w:p w:rsidR="009D1507" w:rsidRDefault="002C03F9">
      <w:pPr>
        <w:pStyle w:val="BodyText"/>
        <w:spacing w:before="93" w:line="196" w:lineRule="auto"/>
        <w:ind w:left="160" w:right="154"/>
        <w:jc w:val="both"/>
      </w:pPr>
      <w:r>
        <w:rPr>
          <w:u w:val="single"/>
        </w:rPr>
        <w:t>SCOPE</w:t>
      </w:r>
      <w:r>
        <w:rPr>
          <w:spacing w:val="-7"/>
          <w:u w:val="single"/>
        </w:rPr>
        <w:t xml:space="preserve"> </w:t>
      </w:r>
      <w:r>
        <w:rPr>
          <w:u w:val="single"/>
        </w:rPr>
        <w:t>OF</w:t>
      </w:r>
      <w:r>
        <w:rPr>
          <w:spacing w:val="-8"/>
          <w:u w:val="single"/>
        </w:rPr>
        <w:t xml:space="preserve"> </w:t>
      </w:r>
      <w:r>
        <w:rPr>
          <w:u w:val="single"/>
        </w:rPr>
        <w:t>REVIEW</w:t>
      </w:r>
      <w:r>
        <w:t>:</w:t>
      </w:r>
      <w:r>
        <w:rPr>
          <w:spacing w:val="35"/>
        </w:rPr>
        <w:t xml:space="preserve"> </w:t>
      </w:r>
      <w:r>
        <w:t>The</w:t>
      </w:r>
      <w:r>
        <w:rPr>
          <w:spacing w:val="-10"/>
        </w:rPr>
        <w:t xml:space="preserve"> </w:t>
      </w:r>
      <w:r>
        <w:t>panel’s</w:t>
      </w:r>
      <w:r>
        <w:rPr>
          <w:spacing w:val="-10"/>
        </w:rPr>
        <w:t xml:space="preserve"> </w:t>
      </w:r>
      <w:r>
        <w:t>scope</w:t>
      </w:r>
      <w:r>
        <w:rPr>
          <w:spacing w:val="-10"/>
        </w:rPr>
        <w:t xml:space="preserve"> </w:t>
      </w:r>
      <w:r>
        <w:t>of</w:t>
      </w:r>
      <w:r>
        <w:rPr>
          <w:spacing w:val="-7"/>
        </w:rPr>
        <w:t xml:space="preserve"> </w:t>
      </w:r>
      <w:r>
        <w:t>review</w:t>
      </w:r>
      <w:r>
        <w:rPr>
          <w:spacing w:val="-8"/>
        </w:rPr>
        <w:t xml:space="preserve"> </w:t>
      </w:r>
      <w:r>
        <w:t>is</w:t>
      </w:r>
      <w:r>
        <w:rPr>
          <w:spacing w:val="-10"/>
        </w:rPr>
        <w:t xml:space="preserve"> </w:t>
      </w:r>
      <w:r>
        <w:t>defined</w:t>
      </w:r>
      <w:r>
        <w:rPr>
          <w:spacing w:val="-8"/>
        </w:rPr>
        <w:t xml:space="preserve"> </w:t>
      </w:r>
      <w:r>
        <w:t>in</w:t>
      </w:r>
      <w:r>
        <w:rPr>
          <w:spacing w:val="-9"/>
        </w:rPr>
        <w:t xml:space="preserve"> </w:t>
      </w:r>
      <w:r>
        <w:t>DoDI</w:t>
      </w:r>
      <w:r>
        <w:rPr>
          <w:spacing w:val="-11"/>
        </w:rPr>
        <w:t xml:space="preserve"> </w:t>
      </w:r>
      <w:r>
        <w:t>6040.44.</w:t>
      </w:r>
      <w:r>
        <w:rPr>
          <w:spacing w:val="37"/>
        </w:rPr>
        <w:t xml:space="preserve"> </w:t>
      </w:r>
      <w:r>
        <w:t>It</w:t>
      </w:r>
      <w:r>
        <w:rPr>
          <w:spacing w:val="-9"/>
        </w:rPr>
        <w:t xml:space="preserve"> </w:t>
      </w:r>
      <w:r>
        <w:t>is</w:t>
      </w:r>
      <w:r>
        <w:rPr>
          <w:spacing w:val="-10"/>
        </w:rPr>
        <w:t xml:space="preserve"> </w:t>
      </w:r>
      <w:r>
        <w:t>limited</w:t>
      </w:r>
      <w:r>
        <w:rPr>
          <w:spacing w:val="-8"/>
        </w:rPr>
        <w:t xml:space="preserve"> </w:t>
      </w:r>
      <w:r>
        <w:t>to</w:t>
      </w:r>
      <w:r>
        <w:rPr>
          <w:spacing w:val="-9"/>
        </w:rPr>
        <w:t xml:space="preserve"> </w:t>
      </w:r>
      <w:r>
        <w:t xml:space="preserve">review of disability ratings assigned to those conditions determined by the Physical Evaluation Board (PEB) to be unfitting for continued military service and when specifically requested by </w:t>
      </w:r>
      <w:r>
        <w:rPr>
          <w:spacing w:val="2"/>
        </w:rPr>
        <w:t xml:space="preserve">the </w:t>
      </w:r>
      <w:r>
        <w:t xml:space="preserve">CI, those conditions identified by the PEB, but determined to </w:t>
      </w:r>
      <w:r>
        <w:t xml:space="preserve">be not unfitting or non-compensable. Any conditions outside the panel’s defined scope of review and any contention not requested in this application may remain eligible for future consideration by the Board for Correction of Military Records. Furthermore, </w:t>
      </w:r>
      <w:r>
        <w:t>the panel’s authority is limited to assessing the fairness and accuracy of PEB rating determinations and recommending corrections, where appropriate. The panel’s</w:t>
      </w:r>
      <w:r>
        <w:rPr>
          <w:spacing w:val="-9"/>
        </w:rPr>
        <w:t xml:space="preserve"> </w:t>
      </w:r>
      <w:r>
        <w:t>assessment</w:t>
      </w:r>
      <w:r>
        <w:rPr>
          <w:spacing w:val="-8"/>
        </w:rPr>
        <w:t xml:space="preserve"> </w:t>
      </w:r>
      <w:r>
        <w:t>of</w:t>
      </w:r>
      <w:r>
        <w:rPr>
          <w:spacing w:val="-8"/>
        </w:rPr>
        <w:t xml:space="preserve"> </w:t>
      </w:r>
      <w:r>
        <w:t>the</w:t>
      </w:r>
      <w:r>
        <w:rPr>
          <w:spacing w:val="-6"/>
        </w:rPr>
        <w:t xml:space="preserve"> </w:t>
      </w:r>
      <w:r>
        <w:t>PEB</w:t>
      </w:r>
      <w:r>
        <w:rPr>
          <w:spacing w:val="-10"/>
        </w:rPr>
        <w:t xml:space="preserve"> </w:t>
      </w:r>
      <w:r>
        <w:t>rating</w:t>
      </w:r>
      <w:r>
        <w:rPr>
          <w:spacing w:val="-9"/>
        </w:rPr>
        <w:t xml:space="preserve"> </w:t>
      </w:r>
      <w:r>
        <w:t>determination</w:t>
      </w:r>
      <w:r>
        <w:rPr>
          <w:spacing w:val="-5"/>
        </w:rPr>
        <w:t xml:space="preserve"> </w:t>
      </w:r>
      <w:r>
        <w:t>is</w:t>
      </w:r>
      <w:r>
        <w:rPr>
          <w:spacing w:val="-9"/>
        </w:rPr>
        <w:t xml:space="preserve"> </w:t>
      </w:r>
      <w:r>
        <w:t>based</w:t>
      </w:r>
      <w:r>
        <w:rPr>
          <w:spacing w:val="-7"/>
        </w:rPr>
        <w:t xml:space="preserve"> </w:t>
      </w:r>
      <w:r>
        <w:t>on</w:t>
      </w:r>
      <w:r>
        <w:rPr>
          <w:spacing w:val="-5"/>
        </w:rPr>
        <w:t xml:space="preserve"> </w:t>
      </w:r>
      <w:r>
        <w:t>review</w:t>
      </w:r>
      <w:r>
        <w:rPr>
          <w:spacing w:val="-7"/>
        </w:rPr>
        <w:t xml:space="preserve"> </w:t>
      </w:r>
      <w:r>
        <w:t>of</w:t>
      </w:r>
      <w:r>
        <w:rPr>
          <w:spacing w:val="-8"/>
        </w:rPr>
        <w:t xml:space="preserve"> </w:t>
      </w:r>
      <w:r>
        <w:t>medical</w:t>
      </w:r>
      <w:r>
        <w:rPr>
          <w:spacing w:val="-8"/>
        </w:rPr>
        <w:t xml:space="preserve"> </w:t>
      </w:r>
      <w:r>
        <w:t>records</w:t>
      </w:r>
      <w:r>
        <w:rPr>
          <w:spacing w:val="-9"/>
        </w:rPr>
        <w:t xml:space="preserve"> </w:t>
      </w:r>
      <w:r>
        <w:t>and</w:t>
      </w:r>
      <w:r>
        <w:rPr>
          <w:spacing w:val="-8"/>
        </w:rPr>
        <w:t xml:space="preserve"> </w:t>
      </w:r>
      <w:r>
        <w:t>all avail</w:t>
      </w:r>
      <w:r>
        <w:t>able</w:t>
      </w:r>
      <w:r>
        <w:rPr>
          <w:spacing w:val="-9"/>
        </w:rPr>
        <w:t xml:space="preserve"> </w:t>
      </w:r>
      <w:r>
        <w:t>evidence</w:t>
      </w:r>
      <w:r>
        <w:rPr>
          <w:spacing w:val="-12"/>
        </w:rPr>
        <w:t xml:space="preserve"> </w:t>
      </w:r>
      <w:r>
        <w:t>for</w:t>
      </w:r>
      <w:r>
        <w:rPr>
          <w:spacing w:val="-9"/>
        </w:rPr>
        <w:t xml:space="preserve"> </w:t>
      </w:r>
      <w:r>
        <w:t>application</w:t>
      </w:r>
      <w:r>
        <w:rPr>
          <w:spacing w:val="-9"/>
        </w:rPr>
        <w:t xml:space="preserve"> </w:t>
      </w:r>
      <w:r>
        <w:t>of</w:t>
      </w:r>
      <w:r>
        <w:rPr>
          <w:spacing w:val="-11"/>
        </w:rPr>
        <w:t xml:space="preserve"> </w:t>
      </w:r>
      <w:r>
        <w:t>the</w:t>
      </w:r>
      <w:r>
        <w:rPr>
          <w:spacing w:val="-7"/>
        </w:rPr>
        <w:t xml:space="preserve"> </w:t>
      </w:r>
      <w:r>
        <w:t>Veterans</w:t>
      </w:r>
      <w:r>
        <w:rPr>
          <w:spacing w:val="-12"/>
        </w:rPr>
        <w:t xml:space="preserve"> </w:t>
      </w:r>
      <w:r>
        <w:t>Affairs</w:t>
      </w:r>
      <w:r>
        <w:rPr>
          <w:spacing w:val="-9"/>
        </w:rPr>
        <w:t xml:space="preserve"> </w:t>
      </w:r>
      <w:r>
        <w:t>Schedule</w:t>
      </w:r>
      <w:r>
        <w:rPr>
          <w:spacing w:val="-9"/>
        </w:rPr>
        <w:t xml:space="preserve"> </w:t>
      </w:r>
      <w:r>
        <w:t>for</w:t>
      </w:r>
      <w:r>
        <w:rPr>
          <w:spacing w:val="-9"/>
        </w:rPr>
        <w:t xml:space="preserve"> </w:t>
      </w:r>
      <w:r>
        <w:t>Rating</w:t>
      </w:r>
      <w:r>
        <w:rPr>
          <w:spacing w:val="-10"/>
        </w:rPr>
        <w:t xml:space="preserve"> </w:t>
      </w:r>
      <w:r>
        <w:t>Disabilities</w:t>
      </w:r>
      <w:r>
        <w:rPr>
          <w:spacing w:val="-10"/>
        </w:rPr>
        <w:t xml:space="preserve"> </w:t>
      </w:r>
      <w:r>
        <w:t>(VASRD) standards</w:t>
      </w:r>
      <w:r>
        <w:rPr>
          <w:spacing w:val="-10"/>
        </w:rPr>
        <w:t xml:space="preserve"> </w:t>
      </w:r>
      <w:r>
        <w:t>to</w:t>
      </w:r>
      <w:r>
        <w:rPr>
          <w:spacing w:val="-9"/>
        </w:rPr>
        <w:t xml:space="preserve"> </w:t>
      </w:r>
      <w:r>
        <w:t>the</w:t>
      </w:r>
      <w:r>
        <w:rPr>
          <w:spacing w:val="-9"/>
        </w:rPr>
        <w:t xml:space="preserve"> </w:t>
      </w:r>
      <w:r>
        <w:t>unfitting</w:t>
      </w:r>
      <w:r>
        <w:rPr>
          <w:spacing w:val="-8"/>
        </w:rPr>
        <w:t xml:space="preserve"> </w:t>
      </w:r>
      <w:r>
        <w:t>medical</w:t>
      </w:r>
      <w:r>
        <w:rPr>
          <w:spacing w:val="-7"/>
        </w:rPr>
        <w:t xml:space="preserve"> </w:t>
      </w:r>
      <w:r>
        <w:t>condition</w:t>
      </w:r>
      <w:r>
        <w:rPr>
          <w:spacing w:val="-6"/>
        </w:rPr>
        <w:t xml:space="preserve"> </w:t>
      </w:r>
      <w:r>
        <w:t>at</w:t>
      </w:r>
      <w:r>
        <w:rPr>
          <w:spacing w:val="-9"/>
        </w:rPr>
        <w:t xml:space="preserve"> </w:t>
      </w:r>
      <w:r>
        <w:t>the</w:t>
      </w:r>
      <w:r>
        <w:rPr>
          <w:spacing w:val="-7"/>
        </w:rPr>
        <w:t xml:space="preserve"> </w:t>
      </w:r>
      <w:r>
        <w:t>time</w:t>
      </w:r>
      <w:r>
        <w:rPr>
          <w:spacing w:val="-9"/>
        </w:rPr>
        <w:t xml:space="preserve"> </w:t>
      </w:r>
      <w:r>
        <w:t>of</w:t>
      </w:r>
      <w:r>
        <w:rPr>
          <w:spacing w:val="-6"/>
        </w:rPr>
        <w:t xml:space="preserve"> </w:t>
      </w:r>
      <w:r>
        <w:t>separation.</w:t>
      </w:r>
      <w:r>
        <w:rPr>
          <w:spacing w:val="40"/>
        </w:rPr>
        <w:t xml:space="preserve"> </w:t>
      </w:r>
      <w:r>
        <w:t>The</w:t>
      </w:r>
      <w:r>
        <w:rPr>
          <w:spacing w:val="-1"/>
        </w:rPr>
        <w:t xml:space="preserve"> </w:t>
      </w:r>
      <w:r>
        <w:t>panel</w:t>
      </w:r>
      <w:r>
        <w:rPr>
          <w:spacing w:val="-6"/>
        </w:rPr>
        <w:t xml:space="preserve"> </w:t>
      </w:r>
      <w:r>
        <w:t>has</w:t>
      </w:r>
      <w:r>
        <w:rPr>
          <w:spacing w:val="-10"/>
        </w:rPr>
        <w:t xml:space="preserve"> </w:t>
      </w:r>
      <w:r>
        <w:t>neither</w:t>
      </w:r>
      <w:r>
        <w:rPr>
          <w:spacing w:val="-7"/>
        </w:rPr>
        <w:t xml:space="preserve"> </w:t>
      </w:r>
      <w:r>
        <w:t xml:space="preserve">the role nor the authority to compensate for progression or complications of service-connected conditions after separation. That role and authority is granted by Congress to the Department  of Veterans Affairs, operating under a different set of laws. The </w:t>
      </w:r>
      <w:r>
        <w:t>panel gives consideration to VA evidence, particularly within 12 months of separation, but only to the extent that it reasonably reflects the severity of the disability at the time of</w:t>
      </w:r>
      <w:r>
        <w:rPr>
          <w:spacing w:val="-28"/>
        </w:rPr>
        <w:t xml:space="preserve"> </w:t>
      </w:r>
      <w:r>
        <w:t>separation.</w:t>
      </w:r>
    </w:p>
    <w:p w:rsidR="009D1507" w:rsidRDefault="002C03F9">
      <w:pPr>
        <w:pStyle w:val="BodyText"/>
        <w:spacing w:before="7"/>
        <w:rPr>
          <w:sz w:val="17"/>
        </w:rPr>
      </w:pPr>
      <w:r>
        <w:pict>
          <v:line id="_x0000_s1029" style="position:absolute;z-index:251657728;mso-wrap-distance-left:0;mso-wrap-distance-right:0;mso-position-horizontal-relative:page" from="70.6pt,13.45pt" to="541.55pt,13.45pt" strokeweight="1.44pt">
            <w10:wrap type="topAndBottom" anchorx="page"/>
          </v:line>
        </w:pict>
      </w:r>
    </w:p>
    <w:p w:rsidR="009D1507" w:rsidRDefault="009D1507">
      <w:pPr>
        <w:pStyle w:val="BodyText"/>
        <w:rPr>
          <w:sz w:val="10"/>
        </w:rPr>
      </w:pPr>
    </w:p>
    <w:p w:rsidR="009D1507" w:rsidRDefault="002C03F9">
      <w:pPr>
        <w:pStyle w:val="BodyText"/>
        <w:spacing w:before="52"/>
        <w:ind w:left="160"/>
      </w:pPr>
      <w:r>
        <w:rPr>
          <w:u w:val="single"/>
        </w:rPr>
        <w:t>RATING COMPARISON</w:t>
      </w:r>
      <w:r>
        <w:t>:</w:t>
      </w:r>
    </w:p>
    <w:p w:rsidR="009D1507" w:rsidRDefault="009D1507">
      <w:pPr>
        <w:pStyle w:val="BodyText"/>
        <w:spacing w:before="3"/>
        <w:rPr>
          <w:sz w:val="18"/>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0"/>
        <w:gridCol w:w="1066"/>
        <w:gridCol w:w="899"/>
        <w:gridCol w:w="2445"/>
        <w:gridCol w:w="1080"/>
        <w:gridCol w:w="721"/>
        <w:gridCol w:w="991"/>
      </w:tblGrid>
      <w:tr w:rsidR="009D1507">
        <w:trPr>
          <w:trHeight w:hRule="exact" w:val="192"/>
        </w:trPr>
        <w:tc>
          <w:tcPr>
            <w:tcW w:w="4135" w:type="dxa"/>
            <w:gridSpan w:val="3"/>
            <w:tcBorders>
              <w:right w:val="triple" w:sz="24" w:space="0" w:color="000000"/>
            </w:tcBorders>
            <w:shd w:val="clear" w:color="auto" w:fill="D9D9D9"/>
          </w:tcPr>
          <w:p w:rsidR="009D1507" w:rsidRDefault="002C03F9">
            <w:pPr>
              <w:pStyle w:val="TableParagraph"/>
              <w:spacing w:line="195" w:lineRule="exact"/>
              <w:ind w:left="1161"/>
              <w:rPr>
                <w:b/>
                <w:sz w:val="18"/>
              </w:rPr>
            </w:pPr>
            <w:r>
              <w:rPr>
                <w:b/>
                <w:sz w:val="18"/>
              </w:rPr>
              <w:t>SERVICE PEB - 20040617</w:t>
            </w:r>
          </w:p>
        </w:tc>
        <w:tc>
          <w:tcPr>
            <w:tcW w:w="5237" w:type="dxa"/>
            <w:gridSpan w:val="4"/>
            <w:tcBorders>
              <w:left w:val="triple" w:sz="24" w:space="0" w:color="000000"/>
            </w:tcBorders>
            <w:shd w:val="clear" w:color="auto" w:fill="D9D9D9"/>
          </w:tcPr>
          <w:p w:rsidR="009D1507" w:rsidRDefault="002C03F9">
            <w:pPr>
              <w:pStyle w:val="TableParagraph"/>
              <w:spacing w:line="195" w:lineRule="exact"/>
              <w:ind w:left="1918" w:right="1946"/>
              <w:jc w:val="center"/>
              <w:rPr>
                <w:b/>
                <w:sz w:val="18"/>
              </w:rPr>
            </w:pPr>
            <w:r>
              <w:rPr>
                <w:b/>
                <w:sz w:val="18"/>
              </w:rPr>
              <w:t>VARD - 20040823</w:t>
            </w:r>
          </w:p>
        </w:tc>
      </w:tr>
      <w:tr w:rsidR="009D1507">
        <w:trPr>
          <w:trHeight w:hRule="exact" w:val="190"/>
        </w:trPr>
        <w:tc>
          <w:tcPr>
            <w:tcW w:w="2170" w:type="dxa"/>
            <w:shd w:val="clear" w:color="auto" w:fill="D9D9D9"/>
          </w:tcPr>
          <w:p w:rsidR="009D1507" w:rsidRDefault="002C03F9">
            <w:pPr>
              <w:pStyle w:val="TableParagraph"/>
              <w:spacing w:line="192" w:lineRule="exact"/>
              <w:ind w:left="715"/>
              <w:rPr>
                <w:b/>
                <w:sz w:val="18"/>
              </w:rPr>
            </w:pPr>
            <w:r>
              <w:rPr>
                <w:b/>
                <w:sz w:val="18"/>
              </w:rPr>
              <w:t>Condition</w:t>
            </w:r>
          </w:p>
        </w:tc>
        <w:tc>
          <w:tcPr>
            <w:tcW w:w="1066" w:type="dxa"/>
            <w:shd w:val="clear" w:color="auto" w:fill="D9D9D9"/>
          </w:tcPr>
          <w:p w:rsidR="009D1507" w:rsidRDefault="002C03F9">
            <w:pPr>
              <w:pStyle w:val="TableParagraph"/>
              <w:spacing w:line="192" w:lineRule="exact"/>
              <w:ind w:left="338"/>
              <w:rPr>
                <w:b/>
                <w:sz w:val="18"/>
              </w:rPr>
            </w:pPr>
            <w:r>
              <w:rPr>
                <w:b/>
                <w:sz w:val="18"/>
              </w:rPr>
              <w:t>Code</w:t>
            </w:r>
          </w:p>
        </w:tc>
        <w:tc>
          <w:tcPr>
            <w:tcW w:w="899" w:type="dxa"/>
            <w:tcBorders>
              <w:right w:val="triple" w:sz="24" w:space="0" w:color="000000"/>
            </w:tcBorders>
            <w:shd w:val="clear" w:color="auto" w:fill="D9D9D9"/>
          </w:tcPr>
          <w:p w:rsidR="009D1507" w:rsidRDefault="002C03F9">
            <w:pPr>
              <w:pStyle w:val="TableParagraph"/>
              <w:spacing w:line="192" w:lineRule="exact"/>
              <w:ind w:left="206"/>
              <w:rPr>
                <w:b/>
                <w:sz w:val="18"/>
              </w:rPr>
            </w:pPr>
            <w:r>
              <w:rPr>
                <w:b/>
                <w:sz w:val="18"/>
              </w:rPr>
              <w:t>Rating</w:t>
            </w:r>
          </w:p>
        </w:tc>
        <w:tc>
          <w:tcPr>
            <w:tcW w:w="2445" w:type="dxa"/>
            <w:tcBorders>
              <w:left w:val="triple" w:sz="24" w:space="0" w:color="000000"/>
            </w:tcBorders>
            <w:shd w:val="clear" w:color="auto" w:fill="D9D9D9"/>
          </w:tcPr>
          <w:p w:rsidR="009D1507" w:rsidRDefault="002C03F9">
            <w:pPr>
              <w:pStyle w:val="TableParagraph"/>
              <w:spacing w:line="192" w:lineRule="exact"/>
              <w:ind w:left="808" w:right="832"/>
              <w:jc w:val="center"/>
              <w:rPr>
                <w:b/>
                <w:sz w:val="18"/>
              </w:rPr>
            </w:pPr>
            <w:r>
              <w:rPr>
                <w:b/>
                <w:sz w:val="18"/>
              </w:rPr>
              <w:t>Condition</w:t>
            </w:r>
          </w:p>
        </w:tc>
        <w:tc>
          <w:tcPr>
            <w:tcW w:w="1080" w:type="dxa"/>
            <w:shd w:val="clear" w:color="auto" w:fill="D9D9D9"/>
          </w:tcPr>
          <w:p w:rsidR="009D1507" w:rsidRDefault="002C03F9">
            <w:pPr>
              <w:pStyle w:val="TableParagraph"/>
              <w:spacing w:line="192" w:lineRule="exact"/>
              <w:ind w:left="122" w:right="122"/>
              <w:jc w:val="center"/>
              <w:rPr>
                <w:b/>
                <w:sz w:val="18"/>
              </w:rPr>
            </w:pPr>
            <w:r>
              <w:rPr>
                <w:b/>
                <w:sz w:val="18"/>
              </w:rPr>
              <w:t>Code</w:t>
            </w:r>
          </w:p>
        </w:tc>
        <w:tc>
          <w:tcPr>
            <w:tcW w:w="721" w:type="dxa"/>
            <w:shd w:val="clear" w:color="auto" w:fill="D9D9D9"/>
          </w:tcPr>
          <w:p w:rsidR="009D1507" w:rsidRDefault="002C03F9">
            <w:pPr>
              <w:pStyle w:val="TableParagraph"/>
              <w:spacing w:line="192" w:lineRule="exact"/>
              <w:ind w:left="95" w:right="97"/>
              <w:jc w:val="center"/>
              <w:rPr>
                <w:b/>
                <w:sz w:val="18"/>
              </w:rPr>
            </w:pPr>
            <w:r>
              <w:rPr>
                <w:b/>
                <w:sz w:val="18"/>
              </w:rPr>
              <w:t>Rating</w:t>
            </w:r>
          </w:p>
        </w:tc>
        <w:tc>
          <w:tcPr>
            <w:tcW w:w="991" w:type="dxa"/>
            <w:shd w:val="clear" w:color="auto" w:fill="D9D9D9"/>
          </w:tcPr>
          <w:p w:rsidR="009D1507" w:rsidRDefault="002C03F9">
            <w:pPr>
              <w:pStyle w:val="TableParagraph"/>
              <w:spacing w:line="192" w:lineRule="exact"/>
              <w:ind w:left="103" w:right="105"/>
              <w:jc w:val="center"/>
              <w:rPr>
                <w:b/>
                <w:sz w:val="18"/>
              </w:rPr>
            </w:pPr>
            <w:r>
              <w:rPr>
                <w:b/>
                <w:sz w:val="18"/>
              </w:rPr>
              <w:t>Exam</w:t>
            </w:r>
          </w:p>
        </w:tc>
      </w:tr>
      <w:tr w:rsidR="009D1507">
        <w:trPr>
          <w:trHeight w:hRule="exact" w:val="370"/>
        </w:trPr>
        <w:tc>
          <w:tcPr>
            <w:tcW w:w="2170" w:type="dxa"/>
            <w:vMerge w:val="restart"/>
          </w:tcPr>
          <w:p w:rsidR="009D1507" w:rsidRDefault="009D1507">
            <w:pPr>
              <w:pStyle w:val="TableParagraph"/>
              <w:spacing w:before="4"/>
              <w:rPr>
                <w:sz w:val="23"/>
              </w:rPr>
            </w:pPr>
          </w:p>
          <w:p w:rsidR="009D1507" w:rsidRDefault="002C03F9">
            <w:pPr>
              <w:pStyle w:val="TableParagraph"/>
              <w:spacing w:before="1" w:line="180" w:lineRule="exact"/>
              <w:ind w:left="103" w:right="144"/>
              <w:rPr>
                <w:sz w:val="18"/>
              </w:rPr>
            </w:pPr>
            <w:r>
              <w:rPr>
                <w:sz w:val="18"/>
              </w:rPr>
              <w:t>B12 Deficiency with Bilateral Sensory Loss and Paresthesias, with Bilateral Upper Extremity Paresthesias Episodic</w:t>
            </w:r>
          </w:p>
        </w:tc>
        <w:tc>
          <w:tcPr>
            <w:tcW w:w="1066" w:type="dxa"/>
            <w:vMerge w:val="restart"/>
          </w:tcPr>
          <w:p w:rsidR="009D1507" w:rsidRDefault="009D1507">
            <w:pPr>
              <w:pStyle w:val="TableParagraph"/>
              <w:rPr>
                <w:sz w:val="18"/>
              </w:rPr>
            </w:pPr>
          </w:p>
          <w:p w:rsidR="009D1507" w:rsidRDefault="009D1507">
            <w:pPr>
              <w:pStyle w:val="TableParagraph"/>
              <w:rPr>
                <w:sz w:val="18"/>
              </w:rPr>
            </w:pPr>
          </w:p>
          <w:p w:rsidR="009D1507" w:rsidRDefault="009D1507">
            <w:pPr>
              <w:pStyle w:val="TableParagraph"/>
              <w:spacing w:before="7"/>
              <w:rPr>
                <w:sz w:val="14"/>
              </w:rPr>
            </w:pPr>
          </w:p>
          <w:p w:rsidR="009D1507" w:rsidRDefault="002C03F9">
            <w:pPr>
              <w:pStyle w:val="TableParagraph"/>
              <w:spacing w:before="1"/>
              <w:ind w:left="134"/>
              <w:rPr>
                <w:sz w:val="18"/>
              </w:rPr>
            </w:pPr>
            <w:r>
              <w:rPr>
                <w:sz w:val="18"/>
              </w:rPr>
              <w:t>8199-8105</w:t>
            </w:r>
          </w:p>
        </w:tc>
        <w:tc>
          <w:tcPr>
            <w:tcW w:w="899" w:type="dxa"/>
            <w:vMerge w:val="restart"/>
            <w:tcBorders>
              <w:right w:val="triple" w:sz="24" w:space="0" w:color="000000"/>
            </w:tcBorders>
          </w:tcPr>
          <w:p w:rsidR="009D1507" w:rsidRDefault="009D1507">
            <w:pPr>
              <w:pStyle w:val="TableParagraph"/>
              <w:rPr>
                <w:sz w:val="18"/>
              </w:rPr>
            </w:pPr>
          </w:p>
          <w:p w:rsidR="009D1507" w:rsidRDefault="009D1507">
            <w:pPr>
              <w:pStyle w:val="TableParagraph"/>
              <w:spacing w:before="2"/>
              <w:rPr>
                <w:sz w:val="25"/>
              </w:rPr>
            </w:pPr>
          </w:p>
          <w:p w:rsidR="009D1507" w:rsidRDefault="002C03F9">
            <w:pPr>
              <w:pStyle w:val="TableParagraph"/>
              <w:ind w:left="288"/>
              <w:rPr>
                <w:sz w:val="18"/>
              </w:rPr>
            </w:pPr>
            <w:r>
              <w:rPr>
                <w:sz w:val="18"/>
              </w:rPr>
              <w:t>10%</w:t>
            </w:r>
          </w:p>
        </w:tc>
        <w:tc>
          <w:tcPr>
            <w:tcW w:w="2445" w:type="dxa"/>
            <w:tcBorders>
              <w:left w:val="triple" w:sz="24" w:space="0" w:color="000000"/>
            </w:tcBorders>
          </w:tcPr>
          <w:p w:rsidR="009D1507" w:rsidRDefault="002C03F9">
            <w:pPr>
              <w:pStyle w:val="TableParagraph"/>
              <w:spacing w:line="180" w:lineRule="exact"/>
              <w:ind w:left="79" w:right="273"/>
              <w:rPr>
                <w:sz w:val="18"/>
              </w:rPr>
            </w:pPr>
            <w:r>
              <w:rPr>
                <w:sz w:val="18"/>
              </w:rPr>
              <w:t>Peripheral Neuropathy, Left Lower Extremity</w:t>
            </w:r>
          </w:p>
        </w:tc>
        <w:tc>
          <w:tcPr>
            <w:tcW w:w="1080" w:type="dxa"/>
          </w:tcPr>
          <w:p w:rsidR="009D1507" w:rsidRDefault="002C03F9">
            <w:pPr>
              <w:pStyle w:val="TableParagraph"/>
              <w:spacing w:before="61"/>
              <w:ind w:left="122" w:right="122"/>
              <w:jc w:val="center"/>
              <w:rPr>
                <w:sz w:val="18"/>
              </w:rPr>
            </w:pPr>
            <w:r>
              <w:rPr>
                <w:sz w:val="18"/>
              </w:rPr>
              <w:t>8799-8722</w:t>
            </w:r>
          </w:p>
        </w:tc>
        <w:tc>
          <w:tcPr>
            <w:tcW w:w="721" w:type="dxa"/>
          </w:tcPr>
          <w:p w:rsidR="009D1507" w:rsidRDefault="002C03F9">
            <w:pPr>
              <w:pStyle w:val="TableParagraph"/>
              <w:spacing w:before="61"/>
              <w:ind w:left="95" w:right="95"/>
              <w:jc w:val="center"/>
              <w:rPr>
                <w:sz w:val="18"/>
              </w:rPr>
            </w:pPr>
            <w:r>
              <w:rPr>
                <w:sz w:val="18"/>
              </w:rPr>
              <w:t>10%</w:t>
            </w:r>
          </w:p>
        </w:tc>
        <w:tc>
          <w:tcPr>
            <w:tcW w:w="991" w:type="dxa"/>
          </w:tcPr>
          <w:p w:rsidR="009D1507" w:rsidRDefault="002C03F9">
            <w:pPr>
              <w:pStyle w:val="TableParagraph"/>
              <w:spacing w:before="61"/>
              <w:ind w:left="105" w:right="105"/>
              <w:jc w:val="center"/>
              <w:rPr>
                <w:sz w:val="18"/>
              </w:rPr>
            </w:pPr>
            <w:r>
              <w:rPr>
                <w:sz w:val="18"/>
              </w:rPr>
              <w:t>20040324</w:t>
            </w:r>
          </w:p>
        </w:tc>
      </w:tr>
      <w:tr w:rsidR="009D1507">
        <w:trPr>
          <w:trHeight w:hRule="exact" w:val="370"/>
        </w:trPr>
        <w:tc>
          <w:tcPr>
            <w:tcW w:w="2170" w:type="dxa"/>
            <w:vMerge/>
          </w:tcPr>
          <w:p w:rsidR="009D1507" w:rsidRDefault="009D1507"/>
        </w:tc>
        <w:tc>
          <w:tcPr>
            <w:tcW w:w="1066" w:type="dxa"/>
            <w:vMerge/>
          </w:tcPr>
          <w:p w:rsidR="009D1507" w:rsidRDefault="009D1507"/>
        </w:tc>
        <w:tc>
          <w:tcPr>
            <w:tcW w:w="899" w:type="dxa"/>
            <w:vMerge/>
            <w:tcBorders>
              <w:right w:val="triple" w:sz="24" w:space="0" w:color="000000"/>
            </w:tcBorders>
          </w:tcPr>
          <w:p w:rsidR="009D1507" w:rsidRDefault="009D1507"/>
        </w:tc>
        <w:tc>
          <w:tcPr>
            <w:tcW w:w="2445" w:type="dxa"/>
            <w:tcBorders>
              <w:left w:val="triple" w:sz="24" w:space="0" w:color="000000"/>
            </w:tcBorders>
          </w:tcPr>
          <w:p w:rsidR="009D1507" w:rsidRDefault="002C03F9">
            <w:pPr>
              <w:pStyle w:val="TableParagraph"/>
              <w:spacing w:line="180" w:lineRule="exact"/>
              <w:ind w:left="79"/>
              <w:rPr>
                <w:sz w:val="18"/>
              </w:rPr>
            </w:pPr>
            <w:r>
              <w:rPr>
                <w:sz w:val="18"/>
              </w:rPr>
              <w:t>Peripheral Neuropathy, Right Lower Extremity</w:t>
            </w:r>
          </w:p>
        </w:tc>
        <w:tc>
          <w:tcPr>
            <w:tcW w:w="1080" w:type="dxa"/>
          </w:tcPr>
          <w:p w:rsidR="009D1507" w:rsidRDefault="002C03F9">
            <w:pPr>
              <w:pStyle w:val="TableParagraph"/>
              <w:spacing w:before="64"/>
              <w:ind w:left="122" w:right="122"/>
              <w:jc w:val="center"/>
              <w:rPr>
                <w:sz w:val="18"/>
              </w:rPr>
            </w:pPr>
            <w:r>
              <w:rPr>
                <w:sz w:val="18"/>
              </w:rPr>
              <w:t>8799-8722</w:t>
            </w:r>
          </w:p>
        </w:tc>
        <w:tc>
          <w:tcPr>
            <w:tcW w:w="721" w:type="dxa"/>
          </w:tcPr>
          <w:p w:rsidR="009D1507" w:rsidRDefault="002C03F9">
            <w:pPr>
              <w:pStyle w:val="TableParagraph"/>
              <w:spacing w:before="64"/>
              <w:ind w:left="95" w:right="95"/>
              <w:jc w:val="center"/>
              <w:rPr>
                <w:sz w:val="18"/>
              </w:rPr>
            </w:pPr>
            <w:r>
              <w:rPr>
                <w:sz w:val="18"/>
              </w:rPr>
              <w:t>10%</w:t>
            </w:r>
          </w:p>
        </w:tc>
        <w:tc>
          <w:tcPr>
            <w:tcW w:w="991" w:type="dxa"/>
          </w:tcPr>
          <w:p w:rsidR="009D1507" w:rsidRDefault="002C03F9">
            <w:pPr>
              <w:pStyle w:val="TableParagraph"/>
              <w:spacing w:before="64"/>
              <w:ind w:left="105" w:right="105"/>
              <w:jc w:val="center"/>
              <w:rPr>
                <w:sz w:val="18"/>
              </w:rPr>
            </w:pPr>
            <w:r>
              <w:rPr>
                <w:sz w:val="18"/>
              </w:rPr>
              <w:t>20040324</w:t>
            </w:r>
          </w:p>
        </w:tc>
      </w:tr>
      <w:tr w:rsidR="009D1507">
        <w:trPr>
          <w:trHeight w:hRule="exact" w:val="370"/>
        </w:trPr>
        <w:tc>
          <w:tcPr>
            <w:tcW w:w="2170" w:type="dxa"/>
            <w:vMerge/>
          </w:tcPr>
          <w:p w:rsidR="009D1507" w:rsidRDefault="009D1507"/>
        </w:tc>
        <w:tc>
          <w:tcPr>
            <w:tcW w:w="1066" w:type="dxa"/>
            <w:vMerge/>
          </w:tcPr>
          <w:p w:rsidR="009D1507" w:rsidRDefault="009D1507"/>
        </w:tc>
        <w:tc>
          <w:tcPr>
            <w:tcW w:w="899" w:type="dxa"/>
            <w:vMerge/>
            <w:tcBorders>
              <w:right w:val="triple" w:sz="24" w:space="0" w:color="000000"/>
            </w:tcBorders>
          </w:tcPr>
          <w:p w:rsidR="009D1507" w:rsidRDefault="009D1507"/>
        </w:tc>
        <w:tc>
          <w:tcPr>
            <w:tcW w:w="2445" w:type="dxa"/>
            <w:tcBorders>
              <w:left w:val="triple" w:sz="24" w:space="0" w:color="000000"/>
            </w:tcBorders>
          </w:tcPr>
          <w:p w:rsidR="009D1507" w:rsidRDefault="002C03F9">
            <w:pPr>
              <w:pStyle w:val="TableParagraph"/>
              <w:spacing w:line="180" w:lineRule="exact"/>
              <w:ind w:left="79" w:right="273"/>
              <w:rPr>
                <w:sz w:val="18"/>
              </w:rPr>
            </w:pPr>
            <w:r>
              <w:rPr>
                <w:sz w:val="18"/>
              </w:rPr>
              <w:t>Peripheral Neuropathy, Left Upper Extremity</w:t>
            </w:r>
          </w:p>
        </w:tc>
        <w:tc>
          <w:tcPr>
            <w:tcW w:w="1080" w:type="dxa"/>
          </w:tcPr>
          <w:p w:rsidR="009D1507" w:rsidRDefault="002C03F9">
            <w:pPr>
              <w:pStyle w:val="TableParagraph"/>
              <w:spacing w:before="64"/>
              <w:ind w:left="122" w:right="122"/>
              <w:jc w:val="center"/>
              <w:rPr>
                <w:sz w:val="18"/>
              </w:rPr>
            </w:pPr>
            <w:r>
              <w:rPr>
                <w:sz w:val="18"/>
              </w:rPr>
              <w:t>8799-8722</w:t>
            </w:r>
          </w:p>
        </w:tc>
        <w:tc>
          <w:tcPr>
            <w:tcW w:w="721" w:type="dxa"/>
          </w:tcPr>
          <w:p w:rsidR="009D1507" w:rsidRDefault="002C03F9">
            <w:pPr>
              <w:pStyle w:val="TableParagraph"/>
              <w:spacing w:before="64"/>
              <w:ind w:left="95" w:right="95"/>
              <w:jc w:val="center"/>
              <w:rPr>
                <w:sz w:val="18"/>
              </w:rPr>
            </w:pPr>
            <w:r>
              <w:rPr>
                <w:sz w:val="18"/>
              </w:rPr>
              <w:t>10%</w:t>
            </w:r>
          </w:p>
        </w:tc>
        <w:tc>
          <w:tcPr>
            <w:tcW w:w="991" w:type="dxa"/>
          </w:tcPr>
          <w:p w:rsidR="009D1507" w:rsidRDefault="002C03F9">
            <w:pPr>
              <w:pStyle w:val="TableParagraph"/>
              <w:spacing w:before="64"/>
              <w:ind w:left="105" w:right="105"/>
              <w:jc w:val="center"/>
              <w:rPr>
                <w:sz w:val="18"/>
              </w:rPr>
            </w:pPr>
            <w:r>
              <w:rPr>
                <w:sz w:val="18"/>
              </w:rPr>
              <w:t>20040324</w:t>
            </w:r>
          </w:p>
        </w:tc>
      </w:tr>
      <w:tr w:rsidR="009D1507">
        <w:trPr>
          <w:trHeight w:hRule="exact" w:val="371"/>
        </w:trPr>
        <w:tc>
          <w:tcPr>
            <w:tcW w:w="2170" w:type="dxa"/>
            <w:vMerge/>
          </w:tcPr>
          <w:p w:rsidR="009D1507" w:rsidRDefault="009D1507"/>
        </w:tc>
        <w:tc>
          <w:tcPr>
            <w:tcW w:w="1066" w:type="dxa"/>
            <w:vMerge/>
          </w:tcPr>
          <w:p w:rsidR="009D1507" w:rsidRDefault="009D1507"/>
        </w:tc>
        <w:tc>
          <w:tcPr>
            <w:tcW w:w="899" w:type="dxa"/>
            <w:vMerge/>
            <w:tcBorders>
              <w:right w:val="triple" w:sz="24" w:space="0" w:color="000000"/>
            </w:tcBorders>
          </w:tcPr>
          <w:p w:rsidR="009D1507" w:rsidRDefault="009D1507"/>
        </w:tc>
        <w:tc>
          <w:tcPr>
            <w:tcW w:w="2445" w:type="dxa"/>
            <w:tcBorders>
              <w:left w:val="triple" w:sz="24" w:space="0" w:color="000000"/>
            </w:tcBorders>
          </w:tcPr>
          <w:p w:rsidR="009D1507" w:rsidRDefault="002C03F9">
            <w:pPr>
              <w:pStyle w:val="TableParagraph"/>
              <w:spacing w:line="180" w:lineRule="exact"/>
              <w:ind w:left="79"/>
              <w:rPr>
                <w:sz w:val="18"/>
              </w:rPr>
            </w:pPr>
            <w:r>
              <w:rPr>
                <w:sz w:val="18"/>
              </w:rPr>
              <w:t>Peripheral Neuropathy, Right Upper Extremity</w:t>
            </w:r>
          </w:p>
        </w:tc>
        <w:tc>
          <w:tcPr>
            <w:tcW w:w="1080" w:type="dxa"/>
          </w:tcPr>
          <w:p w:rsidR="009D1507" w:rsidRDefault="002C03F9">
            <w:pPr>
              <w:pStyle w:val="TableParagraph"/>
              <w:spacing w:before="64"/>
              <w:ind w:left="122" w:right="122"/>
              <w:jc w:val="center"/>
              <w:rPr>
                <w:sz w:val="18"/>
              </w:rPr>
            </w:pPr>
            <w:r>
              <w:rPr>
                <w:sz w:val="18"/>
              </w:rPr>
              <w:t>8799-8722</w:t>
            </w:r>
          </w:p>
        </w:tc>
        <w:tc>
          <w:tcPr>
            <w:tcW w:w="721" w:type="dxa"/>
          </w:tcPr>
          <w:p w:rsidR="009D1507" w:rsidRDefault="002C03F9">
            <w:pPr>
              <w:pStyle w:val="TableParagraph"/>
              <w:spacing w:before="64"/>
              <w:ind w:left="95" w:right="95"/>
              <w:jc w:val="center"/>
              <w:rPr>
                <w:sz w:val="18"/>
              </w:rPr>
            </w:pPr>
            <w:r>
              <w:rPr>
                <w:sz w:val="18"/>
              </w:rPr>
              <w:t>10%</w:t>
            </w:r>
          </w:p>
        </w:tc>
        <w:tc>
          <w:tcPr>
            <w:tcW w:w="991" w:type="dxa"/>
          </w:tcPr>
          <w:p w:rsidR="009D1507" w:rsidRDefault="002C03F9">
            <w:pPr>
              <w:pStyle w:val="TableParagraph"/>
              <w:spacing w:before="64"/>
              <w:ind w:left="105" w:right="105"/>
              <w:jc w:val="center"/>
              <w:rPr>
                <w:sz w:val="18"/>
              </w:rPr>
            </w:pPr>
            <w:r>
              <w:rPr>
                <w:sz w:val="18"/>
              </w:rPr>
              <w:t>20040324</w:t>
            </w:r>
          </w:p>
        </w:tc>
      </w:tr>
      <w:tr w:rsidR="009D1507">
        <w:trPr>
          <w:trHeight w:hRule="exact" w:val="191"/>
        </w:trPr>
        <w:tc>
          <w:tcPr>
            <w:tcW w:w="4135" w:type="dxa"/>
            <w:gridSpan w:val="3"/>
            <w:tcBorders>
              <w:right w:val="triple" w:sz="24" w:space="0" w:color="000000"/>
            </w:tcBorders>
            <w:shd w:val="clear" w:color="auto" w:fill="D9D9D9"/>
          </w:tcPr>
          <w:p w:rsidR="009D1507" w:rsidRDefault="002C03F9">
            <w:pPr>
              <w:pStyle w:val="TableParagraph"/>
              <w:spacing w:line="194" w:lineRule="exact"/>
              <w:ind w:left="1106"/>
              <w:rPr>
                <w:b/>
                <w:sz w:val="18"/>
              </w:rPr>
            </w:pPr>
            <w:r>
              <w:rPr>
                <w:b/>
                <w:sz w:val="18"/>
              </w:rPr>
              <w:t>COMBINED RATING: 10%</w:t>
            </w:r>
          </w:p>
        </w:tc>
        <w:tc>
          <w:tcPr>
            <w:tcW w:w="5237" w:type="dxa"/>
            <w:gridSpan w:val="4"/>
            <w:tcBorders>
              <w:left w:val="triple" w:sz="24" w:space="0" w:color="000000"/>
            </w:tcBorders>
            <w:shd w:val="clear" w:color="auto" w:fill="D9D9D9"/>
          </w:tcPr>
          <w:p w:rsidR="009D1507" w:rsidRDefault="002C03F9">
            <w:pPr>
              <w:pStyle w:val="TableParagraph"/>
              <w:spacing w:line="194" w:lineRule="exact"/>
              <w:ind w:left="732"/>
              <w:rPr>
                <w:b/>
                <w:sz w:val="18"/>
              </w:rPr>
            </w:pPr>
            <w:r>
              <w:rPr>
                <w:b/>
                <w:sz w:val="18"/>
              </w:rPr>
              <w:t>COMBINED RATING OF ALL VA CONDITIONS: 50%</w:t>
            </w:r>
          </w:p>
        </w:tc>
      </w:tr>
    </w:tbl>
    <w:p w:rsidR="009D1507" w:rsidRDefault="002C03F9">
      <w:pPr>
        <w:pStyle w:val="BodyText"/>
        <w:spacing w:before="3"/>
        <w:rPr>
          <w:sz w:val="13"/>
        </w:rPr>
      </w:pPr>
      <w:r>
        <w:pict>
          <v:line id="_x0000_s1028" style="position:absolute;z-index:251658752;mso-wrap-distance-left:0;mso-wrap-distance-right:0;mso-position-horizontal-relative:page;mso-position-vertical-relative:text" from="70.6pt,10.8pt" to="541.55pt,10.8pt" strokeweight="1.44pt">
            <w10:wrap type="topAndBottom" anchorx="page"/>
          </v:line>
        </w:pict>
      </w:r>
    </w:p>
    <w:p w:rsidR="009D1507" w:rsidRDefault="002C03F9">
      <w:pPr>
        <w:pStyle w:val="BodyText"/>
        <w:spacing w:before="174"/>
        <w:ind w:left="160"/>
      </w:pPr>
      <w:r>
        <w:rPr>
          <w:u w:val="single"/>
        </w:rPr>
        <w:t>ANALYSIS SUMMARY</w:t>
      </w:r>
      <w:r>
        <w:t>:</w:t>
      </w:r>
    </w:p>
    <w:p w:rsidR="009D1507" w:rsidRDefault="009D1507">
      <w:pPr>
        <w:pStyle w:val="BodyText"/>
        <w:rPr>
          <w:sz w:val="11"/>
        </w:rPr>
      </w:pPr>
    </w:p>
    <w:p w:rsidR="009D1507" w:rsidRDefault="002C03F9">
      <w:pPr>
        <w:pStyle w:val="BodyText"/>
        <w:spacing w:before="89" w:line="240" w:lineRule="exact"/>
        <w:ind w:left="160" w:right="154"/>
        <w:jc w:val="both"/>
      </w:pPr>
      <w:r>
        <w:rPr>
          <w:u w:val="single"/>
        </w:rPr>
        <w:t xml:space="preserve">B12 Deficiency. </w:t>
      </w:r>
      <w:r>
        <w:t>According to service treatment record (STR) and the Medical Evaluation Board (MEB) narrative summary (NARSUM), the CI’s symptoms of B12 deficiency condition began in November 2</w:t>
      </w:r>
      <w:r>
        <w:t>002 when the CI initially developed left lower extremity pain and numbness, and subsequent right lower extremity pain in January 2003.  No diagnosis was made.  In  September</w:t>
      </w:r>
    </w:p>
    <w:p w:rsidR="009D1507" w:rsidRDefault="009D1507">
      <w:pPr>
        <w:spacing w:line="240" w:lineRule="exact"/>
        <w:jc w:val="both"/>
        <w:sectPr w:rsidR="009D1507">
          <w:headerReference w:type="even" r:id="rId6"/>
          <w:headerReference w:type="default" r:id="rId7"/>
          <w:footerReference w:type="even" r:id="rId8"/>
          <w:footerReference w:type="default" r:id="rId9"/>
          <w:headerReference w:type="first" r:id="rId10"/>
          <w:footerReference w:type="first" r:id="rId11"/>
          <w:type w:val="continuous"/>
          <w:pgSz w:w="12240" w:h="15840"/>
          <w:pgMar w:top="1380" w:right="1280" w:bottom="280" w:left="1280" w:header="720" w:footer="720" w:gutter="0"/>
          <w:cols w:space="720"/>
        </w:sectPr>
      </w:pPr>
    </w:p>
    <w:p w:rsidR="009D1507" w:rsidRDefault="002C03F9">
      <w:pPr>
        <w:pStyle w:val="BodyText"/>
        <w:spacing w:before="64" w:line="196" w:lineRule="auto"/>
        <w:ind w:left="100" w:right="118"/>
        <w:jc w:val="both"/>
      </w:pPr>
      <w:r>
        <w:lastRenderedPageBreak/>
        <w:t xml:space="preserve">2003, the CI was medically evacuated from Kuwait due to the inability </w:t>
      </w:r>
      <w:r>
        <w:t>to perform the duties of his 16-hour a day traffic checkpoint job. Upon being medically evacuated, he had blood levels drawn, which showed B12 deficiency, and treatment was initiated. His pain and numbness symptoms later included upper extremities.</w:t>
      </w:r>
    </w:p>
    <w:p w:rsidR="009D1507" w:rsidRDefault="009D1507">
      <w:pPr>
        <w:pStyle w:val="BodyText"/>
        <w:spacing w:before="7"/>
        <w:rPr>
          <w:sz w:val="19"/>
        </w:rPr>
      </w:pPr>
    </w:p>
    <w:p w:rsidR="009D1507" w:rsidRDefault="002C03F9">
      <w:pPr>
        <w:pStyle w:val="BodyText"/>
        <w:spacing w:line="196" w:lineRule="auto"/>
        <w:ind w:left="100" w:right="115"/>
        <w:jc w:val="both"/>
      </w:pPr>
      <w:r>
        <w:t xml:space="preserve">At the 6 October 2003 neurological consultation examination, 9 months before separation, the CI reported a history of motor vehicle accident with injury to his right hand nerves, chronic difficulty straightening fingers of the right hand, and some chronic </w:t>
      </w:r>
      <w:r>
        <w:t>sensory deficit in the right hand; however, he denied power difficulties in the arms otherwise. He reported he “hardly” ate during deployment, due to decreased appetite, and had lost 30 pounds, but regained 15 since returning from deployment. Physical exam</w:t>
      </w:r>
      <w:r>
        <w:t>ination documented normal functioning of all cranial nerves, normal bulk and tone in all extremities except for mild increase in distal right upper extremity (tone/contracture) likely from the MVA. Motor strength was normal bilateral upper and lower extrem</w:t>
      </w:r>
      <w:r>
        <w:t>ities (UE and LE respectively), and there were no abnormal body movements. Sensory examination showed light touch normal in LUE, decreased in the right hand, decreased bilateral LE to around mid-thigh level. Vibration sensation decreased in RUE, normal LUE</w:t>
      </w:r>
      <w:r>
        <w:t>, and absent in the bilateral LE. Pinprick decreased bilateral LE, and joint position sense normal LUE, absent LLE metatarsophalangeal joint, but present at ankle. The neurologist assessed” bilateral lower extremity sensory loss and paresthesias, with invo</w:t>
      </w:r>
      <w:r>
        <w:t>lvement of both small and large fibers (pain/temperature/light</w:t>
      </w:r>
      <w:r>
        <w:rPr>
          <w:spacing w:val="-19"/>
        </w:rPr>
        <w:t xml:space="preserve"> </w:t>
      </w:r>
      <w:r>
        <w:t>touch/vibratory</w:t>
      </w:r>
      <w:r>
        <w:rPr>
          <w:spacing w:val="-19"/>
        </w:rPr>
        <w:t xml:space="preserve"> </w:t>
      </w:r>
      <w:r>
        <w:t>sense)</w:t>
      </w:r>
      <w:r>
        <w:rPr>
          <w:spacing w:val="-18"/>
        </w:rPr>
        <w:t xml:space="preserve"> </w:t>
      </w:r>
      <w:r>
        <w:t>with</w:t>
      </w:r>
      <w:r>
        <w:rPr>
          <w:spacing w:val="-17"/>
        </w:rPr>
        <w:t xml:space="preserve"> </w:t>
      </w:r>
      <w:r>
        <w:t>relative</w:t>
      </w:r>
      <w:r>
        <w:rPr>
          <w:spacing w:val="-21"/>
        </w:rPr>
        <w:t xml:space="preserve"> </w:t>
      </w:r>
      <w:r>
        <w:t>preservation</w:t>
      </w:r>
      <w:r>
        <w:rPr>
          <w:spacing w:val="-19"/>
        </w:rPr>
        <w:t xml:space="preserve"> </w:t>
      </w:r>
      <w:r>
        <w:t>of</w:t>
      </w:r>
      <w:r>
        <w:rPr>
          <w:spacing w:val="-17"/>
        </w:rPr>
        <w:t xml:space="preserve"> </w:t>
      </w:r>
      <w:r>
        <w:t>power</w:t>
      </w:r>
      <w:r>
        <w:rPr>
          <w:spacing w:val="-17"/>
        </w:rPr>
        <w:t xml:space="preserve"> </w:t>
      </w:r>
      <w:r>
        <w:t>in</w:t>
      </w:r>
      <w:r>
        <w:rPr>
          <w:spacing w:val="-17"/>
        </w:rPr>
        <w:t xml:space="preserve"> </w:t>
      </w:r>
      <w:r>
        <w:t>the</w:t>
      </w:r>
      <w:r>
        <w:rPr>
          <w:spacing w:val="-17"/>
        </w:rPr>
        <w:t xml:space="preserve"> </w:t>
      </w:r>
      <w:r>
        <w:t>LE;</w:t>
      </w:r>
      <w:r>
        <w:rPr>
          <w:spacing w:val="-17"/>
        </w:rPr>
        <w:t xml:space="preserve"> </w:t>
      </w:r>
      <w:r>
        <w:t>and bilateral UE paresthesias,</w:t>
      </w:r>
      <w:r>
        <w:rPr>
          <w:spacing w:val="-10"/>
        </w:rPr>
        <w:t xml:space="preserve"> </w:t>
      </w:r>
      <w:r>
        <w:t>episodic.”</w:t>
      </w:r>
    </w:p>
    <w:p w:rsidR="009D1507" w:rsidRDefault="009D1507">
      <w:pPr>
        <w:pStyle w:val="BodyText"/>
        <w:spacing w:before="3"/>
        <w:rPr>
          <w:sz w:val="19"/>
        </w:rPr>
      </w:pPr>
    </w:p>
    <w:p w:rsidR="009D1507" w:rsidRDefault="002C03F9">
      <w:pPr>
        <w:pStyle w:val="BodyText"/>
        <w:spacing w:line="240" w:lineRule="exact"/>
        <w:ind w:left="100" w:right="114"/>
        <w:jc w:val="both"/>
      </w:pPr>
      <w:r>
        <w:t xml:space="preserve">During the 21 April 2004 MEB examination (recorded on DD Forms 2807 and 2808) 3 </w:t>
      </w:r>
      <w:r>
        <w:t>months prior</w:t>
      </w:r>
      <w:r>
        <w:rPr>
          <w:spacing w:val="-14"/>
        </w:rPr>
        <w:t xml:space="preserve"> </w:t>
      </w:r>
      <w:r>
        <w:t>to</w:t>
      </w:r>
      <w:r>
        <w:rPr>
          <w:spacing w:val="-14"/>
        </w:rPr>
        <w:t xml:space="preserve"> </w:t>
      </w:r>
      <w:r>
        <w:t>separation,</w:t>
      </w:r>
      <w:r>
        <w:rPr>
          <w:spacing w:val="-14"/>
        </w:rPr>
        <w:t xml:space="preserve"> </w:t>
      </w:r>
      <w:r>
        <w:t>the</w:t>
      </w:r>
      <w:r>
        <w:rPr>
          <w:spacing w:val="-14"/>
        </w:rPr>
        <w:t xml:space="preserve"> </w:t>
      </w:r>
      <w:r>
        <w:t>CI</w:t>
      </w:r>
      <w:r>
        <w:rPr>
          <w:spacing w:val="-15"/>
        </w:rPr>
        <w:t xml:space="preserve"> </w:t>
      </w:r>
      <w:r>
        <w:t>reported</w:t>
      </w:r>
      <w:r>
        <w:rPr>
          <w:spacing w:val="-13"/>
        </w:rPr>
        <w:t xml:space="preserve"> </w:t>
      </w:r>
      <w:r>
        <w:t>he</w:t>
      </w:r>
      <w:r>
        <w:rPr>
          <w:spacing w:val="-14"/>
        </w:rPr>
        <w:t xml:space="preserve"> </w:t>
      </w:r>
      <w:r>
        <w:t>was</w:t>
      </w:r>
      <w:r>
        <w:rPr>
          <w:spacing w:val="-15"/>
        </w:rPr>
        <w:t xml:space="preserve"> </w:t>
      </w:r>
      <w:r>
        <w:t>diagnosed</w:t>
      </w:r>
      <w:r>
        <w:rPr>
          <w:spacing w:val="-13"/>
        </w:rPr>
        <w:t xml:space="preserve"> </w:t>
      </w:r>
      <w:r>
        <w:t>with</w:t>
      </w:r>
      <w:r>
        <w:rPr>
          <w:spacing w:val="-14"/>
        </w:rPr>
        <w:t xml:space="preserve"> </w:t>
      </w:r>
      <w:r>
        <w:t>B12</w:t>
      </w:r>
      <w:r>
        <w:rPr>
          <w:spacing w:val="-15"/>
        </w:rPr>
        <w:t xml:space="preserve"> </w:t>
      </w:r>
      <w:r>
        <w:t>deficiency</w:t>
      </w:r>
      <w:r>
        <w:rPr>
          <w:spacing w:val="-15"/>
        </w:rPr>
        <w:t xml:space="preserve"> </w:t>
      </w:r>
      <w:r>
        <w:t>and</w:t>
      </w:r>
      <w:r>
        <w:rPr>
          <w:spacing w:val="-14"/>
        </w:rPr>
        <w:t xml:space="preserve"> </w:t>
      </w:r>
      <w:r>
        <w:t>neuropathy</w:t>
      </w:r>
      <w:r>
        <w:rPr>
          <w:spacing w:val="-15"/>
        </w:rPr>
        <w:t xml:space="preserve"> </w:t>
      </w:r>
      <w:r>
        <w:t>in</w:t>
      </w:r>
      <w:r>
        <w:rPr>
          <w:spacing w:val="-14"/>
        </w:rPr>
        <w:t xml:space="preserve"> </w:t>
      </w:r>
      <w:r>
        <w:t>legs, feet, and lower back, and that he had limitations to lower body movement. The CI also reported problems with his shoulder since shoulder surgery. There was no mention of upper extremity pain related to B12 condition. Physical examination recorded nor</w:t>
      </w:r>
      <w:r>
        <w:t>mal upper extremities and abnormal lower extremity, but recorded his condition as: bilateral sensory loss, and B12 deficiency, without specifying the location of the sensory</w:t>
      </w:r>
      <w:r>
        <w:rPr>
          <w:spacing w:val="-21"/>
        </w:rPr>
        <w:t xml:space="preserve"> </w:t>
      </w:r>
      <w:r>
        <w:t>loss.</w:t>
      </w:r>
    </w:p>
    <w:p w:rsidR="009D1507" w:rsidRDefault="009D1507">
      <w:pPr>
        <w:pStyle w:val="BodyText"/>
        <w:spacing w:before="8"/>
        <w:rPr>
          <w:sz w:val="19"/>
        </w:rPr>
      </w:pPr>
    </w:p>
    <w:p w:rsidR="009D1507" w:rsidRDefault="002C03F9">
      <w:pPr>
        <w:pStyle w:val="BodyText"/>
        <w:spacing w:line="240" w:lineRule="exact"/>
        <w:ind w:left="100" w:right="114"/>
        <w:jc w:val="both"/>
      </w:pPr>
      <w:r>
        <w:t>The</w:t>
      </w:r>
      <w:r>
        <w:rPr>
          <w:spacing w:val="-8"/>
        </w:rPr>
        <w:t xml:space="preserve"> </w:t>
      </w:r>
      <w:r>
        <w:t>29</w:t>
      </w:r>
      <w:r>
        <w:rPr>
          <w:spacing w:val="-7"/>
        </w:rPr>
        <w:t xml:space="preserve"> </w:t>
      </w:r>
      <w:r>
        <w:t>April</w:t>
      </w:r>
      <w:r>
        <w:rPr>
          <w:spacing w:val="-8"/>
        </w:rPr>
        <w:t xml:space="preserve"> </w:t>
      </w:r>
      <w:r>
        <w:t>2004</w:t>
      </w:r>
      <w:r>
        <w:rPr>
          <w:spacing w:val="-7"/>
        </w:rPr>
        <w:t xml:space="preserve"> </w:t>
      </w:r>
      <w:r>
        <w:t>MEB</w:t>
      </w:r>
      <w:r>
        <w:rPr>
          <w:spacing w:val="-9"/>
        </w:rPr>
        <w:t xml:space="preserve"> </w:t>
      </w:r>
      <w:r>
        <w:t>NARSUM</w:t>
      </w:r>
      <w:r>
        <w:rPr>
          <w:spacing w:val="-5"/>
        </w:rPr>
        <w:t xml:space="preserve"> </w:t>
      </w:r>
      <w:r>
        <w:t>examination,</w:t>
      </w:r>
      <w:r>
        <w:rPr>
          <w:spacing w:val="-7"/>
        </w:rPr>
        <w:t xml:space="preserve"> </w:t>
      </w:r>
      <w:r>
        <w:t>3</w:t>
      </w:r>
      <w:r>
        <w:rPr>
          <w:spacing w:val="-8"/>
        </w:rPr>
        <w:t xml:space="preserve"> </w:t>
      </w:r>
      <w:r>
        <w:t>months</w:t>
      </w:r>
      <w:r>
        <w:rPr>
          <w:spacing w:val="-9"/>
        </w:rPr>
        <w:t xml:space="preserve"> </w:t>
      </w:r>
      <w:r>
        <w:t>prior</w:t>
      </w:r>
      <w:r>
        <w:rPr>
          <w:spacing w:val="-8"/>
        </w:rPr>
        <w:t xml:space="preserve"> </w:t>
      </w:r>
      <w:r>
        <w:t>to</w:t>
      </w:r>
      <w:r>
        <w:rPr>
          <w:spacing w:val="-8"/>
        </w:rPr>
        <w:t xml:space="preserve"> </w:t>
      </w:r>
      <w:r>
        <w:t>separation,</w:t>
      </w:r>
      <w:r>
        <w:rPr>
          <w:spacing w:val="-9"/>
        </w:rPr>
        <w:t xml:space="preserve"> </w:t>
      </w:r>
      <w:r>
        <w:t>not</w:t>
      </w:r>
      <w:r>
        <w:t>ed</w:t>
      </w:r>
      <w:r>
        <w:rPr>
          <w:spacing w:val="-7"/>
        </w:rPr>
        <w:t xml:space="preserve"> </w:t>
      </w:r>
      <w:r>
        <w:t>complaints</w:t>
      </w:r>
      <w:r>
        <w:rPr>
          <w:spacing w:val="-9"/>
        </w:rPr>
        <w:t xml:space="preserve"> </w:t>
      </w:r>
      <w:r>
        <w:t>of “B12 deficiency with neuropathy.” The CI detailed he would awake with arthritis pain in his legs and</w:t>
      </w:r>
      <w:r>
        <w:rPr>
          <w:spacing w:val="-12"/>
        </w:rPr>
        <w:t xml:space="preserve"> </w:t>
      </w:r>
      <w:r>
        <w:t>a</w:t>
      </w:r>
      <w:r>
        <w:rPr>
          <w:spacing w:val="-13"/>
        </w:rPr>
        <w:t xml:space="preserve"> </w:t>
      </w:r>
      <w:r>
        <w:t>feeling</w:t>
      </w:r>
      <w:r>
        <w:rPr>
          <w:spacing w:val="-14"/>
        </w:rPr>
        <w:t xml:space="preserve"> </w:t>
      </w:r>
      <w:r>
        <w:t>of</w:t>
      </w:r>
      <w:r>
        <w:rPr>
          <w:spacing w:val="-14"/>
        </w:rPr>
        <w:t xml:space="preserve"> </w:t>
      </w:r>
      <w:r>
        <w:t>pins</w:t>
      </w:r>
      <w:r>
        <w:rPr>
          <w:spacing w:val="-14"/>
        </w:rPr>
        <w:t xml:space="preserve"> </w:t>
      </w:r>
      <w:r>
        <w:t>and</w:t>
      </w:r>
      <w:r>
        <w:rPr>
          <w:spacing w:val="-11"/>
        </w:rPr>
        <w:t xml:space="preserve"> </w:t>
      </w:r>
      <w:r>
        <w:t>needles</w:t>
      </w:r>
      <w:r>
        <w:rPr>
          <w:spacing w:val="-11"/>
        </w:rPr>
        <w:t xml:space="preserve"> </w:t>
      </w:r>
      <w:r>
        <w:t>with</w:t>
      </w:r>
      <w:r>
        <w:rPr>
          <w:spacing w:val="-13"/>
        </w:rPr>
        <w:t xml:space="preserve"> </w:t>
      </w:r>
      <w:r>
        <w:t>a</w:t>
      </w:r>
      <w:r>
        <w:rPr>
          <w:spacing w:val="-11"/>
        </w:rPr>
        <w:t xml:space="preserve"> </w:t>
      </w:r>
      <w:r>
        <w:t>“fire”</w:t>
      </w:r>
      <w:r>
        <w:rPr>
          <w:spacing w:val="-12"/>
        </w:rPr>
        <w:t xml:space="preserve"> </w:t>
      </w:r>
      <w:r>
        <w:t>sensation</w:t>
      </w:r>
      <w:r>
        <w:rPr>
          <w:spacing w:val="-14"/>
        </w:rPr>
        <w:t xml:space="preserve"> </w:t>
      </w:r>
      <w:r>
        <w:t>to</w:t>
      </w:r>
      <w:r>
        <w:rPr>
          <w:spacing w:val="-13"/>
        </w:rPr>
        <w:t xml:space="preserve"> </w:t>
      </w:r>
      <w:r>
        <w:t>his</w:t>
      </w:r>
      <w:r>
        <w:rPr>
          <w:spacing w:val="-14"/>
        </w:rPr>
        <w:t xml:space="preserve"> </w:t>
      </w:r>
      <w:r>
        <w:t>feet</w:t>
      </w:r>
      <w:r>
        <w:rPr>
          <w:spacing w:val="-12"/>
        </w:rPr>
        <w:t xml:space="preserve"> </w:t>
      </w:r>
      <w:r>
        <w:t>and</w:t>
      </w:r>
      <w:r>
        <w:rPr>
          <w:spacing w:val="-12"/>
        </w:rPr>
        <w:t xml:space="preserve"> </w:t>
      </w:r>
      <w:r>
        <w:t>ankles.</w:t>
      </w:r>
      <w:r>
        <w:rPr>
          <w:spacing w:val="31"/>
        </w:rPr>
        <w:t xml:space="preserve"> </w:t>
      </w:r>
      <w:r>
        <w:t>No</w:t>
      </w:r>
      <w:r>
        <w:rPr>
          <w:spacing w:val="-13"/>
        </w:rPr>
        <w:t xml:space="preserve"> </w:t>
      </w:r>
      <w:r>
        <w:t>loss</w:t>
      </w:r>
      <w:r>
        <w:rPr>
          <w:spacing w:val="-13"/>
        </w:rPr>
        <w:t xml:space="preserve"> </w:t>
      </w:r>
      <w:r>
        <w:t>of</w:t>
      </w:r>
      <w:r>
        <w:rPr>
          <w:spacing w:val="-12"/>
        </w:rPr>
        <w:t xml:space="preserve"> </w:t>
      </w:r>
      <w:r>
        <w:t>strength was noted. The CI also reported his arms were falling asleep easily from his shoulder down with returning to normal throughout the course of the day. The review of system documented a history of numbness and tingling in his lower extremities and h</w:t>
      </w:r>
      <w:r>
        <w:t xml:space="preserve">is arms. Physical examination showed bilateral lower extremity sensory loss and paresthesias, with impairment in sensory perception of pain, temperature, light touch, and vibratory sensory. No other abnormalities noted. The examiner stated, “He (CI) still </w:t>
      </w:r>
      <w:r>
        <w:t>has residual paresthesias and sensory loss in his lower extremities and his arms.”  Pain was noted as frequent and marked in</w:t>
      </w:r>
      <w:r>
        <w:rPr>
          <w:spacing w:val="-27"/>
        </w:rPr>
        <w:t xml:space="preserve"> </w:t>
      </w:r>
      <w:r>
        <w:t>severity.</w:t>
      </w:r>
    </w:p>
    <w:p w:rsidR="009D1507" w:rsidRDefault="009D1507">
      <w:pPr>
        <w:pStyle w:val="BodyText"/>
        <w:rPr>
          <w:sz w:val="20"/>
        </w:rPr>
      </w:pPr>
    </w:p>
    <w:p w:rsidR="009D1507" w:rsidRDefault="002C03F9">
      <w:pPr>
        <w:pStyle w:val="BodyText"/>
        <w:spacing w:line="196" w:lineRule="auto"/>
        <w:ind w:left="100" w:right="114"/>
        <w:jc w:val="both"/>
      </w:pPr>
      <w:r>
        <w:t>At the 1 October 2004 VA Compensation and Pension (C&amp;P) evaluation, 3 months after separation, the CI reported he had nu</w:t>
      </w:r>
      <w:r>
        <w:t>mbness in both arms at times, and pins and needles sensation</w:t>
      </w:r>
      <w:r>
        <w:rPr>
          <w:spacing w:val="-8"/>
        </w:rPr>
        <w:t xml:space="preserve"> </w:t>
      </w:r>
      <w:r>
        <w:t>at</w:t>
      </w:r>
      <w:r>
        <w:rPr>
          <w:spacing w:val="-10"/>
        </w:rPr>
        <w:t xml:space="preserve"> </w:t>
      </w:r>
      <w:r>
        <w:t>the</w:t>
      </w:r>
      <w:r>
        <w:rPr>
          <w:spacing w:val="-11"/>
        </w:rPr>
        <w:t xml:space="preserve"> </w:t>
      </w:r>
      <w:r>
        <w:t>top</w:t>
      </w:r>
      <w:r>
        <w:rPr>
          <w:spacing w:val="-8"/>
        </w:rPr>
        <w:t xml:space="preserve"> </w:t>
      </w:r>
      <w:r>
        <w:t>of</w:t>
      </w:r>
      <w:r>
        <w:rPr>
          <w:spacing w:val="-10"/>
        </w:rPr>
        <w:t xml:space="preserve"> </w:t>
      </w:r>
      <w:r>
        <w:t>his</w:t>
      </w:r>
      <w:r>
        <w:rPr>
          <w:spacing w:val="-9"/>
        </w:rPr>
        <w:t xml:space="preserve"> </w:t>
      </w:r>
      <w:r>
        <w:t>biceps</w:t>
      </w:r>
      <w:r>
        <w:rPr>
          <w:spacing w:val="-9"/>
        </w:rPr>
        <w:t xml:space="preserve"> </w:t>
      </w:r>
      <w:r>
        <w:t>radiating</w:t>
      </w:r>
      <w:r>
        <w:rPr>
          <w:spacing w:val="-11"/>
        </w:rPr>
        <w:t xml:space="preserve"> </w:t>
      </w:r>
      <w:r>
        <w:t>down</w:t>
      </w:r>
      <w:r>
        <w:rPr>
          <w:spacing w:val="-11"/>
        </w:rPr>
        <w:t xml:space="preserve"> </w:t>
      </w:r>
      <w:r>
        <w:t>the</w:t>
      </w:r>
      <w:r>
        <w:rPr>
          <w:spacing w:val="-8"/>
        </w:rPr>
        <w:t xml:space="preserve"> </w:t>
      </w:r>
      <w:r>
        <w:t>arms.</w:t>
      </w:r>
      <w:r>
        <w:rPr>
          <w:spacing w:val="35"/>
        </w:rPr>
        <w:t xml:space="preserve"> </w:t>
      </w:r>
      <w:r>
        <w:t>LE</w:t>
      </w:r>
      <w:r>
        <w:rPr>
          <w:spacing w:val="-8"/>
        </w:rPr>
        <w:t xml:space="preserve"> </w:t>
      </w:r>
      <w:r>
        <w:t>issues</w:t>
      </w:r>
      <w:r>
        <w:rPr>
          <w:spacing w:val="-9"/>
        </w:rPr>
        <w:t xml:space="preserve"> </w:t>
      </w:r>
      <w:r>
        <w:t>were</w:t>
      </w:r>
      <w:r>
        <w:rPr>
          <w:spacing w:val="-11"/>
        </w:rPr>
        <w:t xml:space="preserve"> </w:t>
      </w:r>
      <w:r>
        <w:t>not</w:t>
      </w:r>
      <w:r>
        <w:rPr>
          <w:spacing w:val="-9"/>
        </w:rPr>
        <w:t xml:space="preserve"> </w:t>
      </w:r>
      <w:r>
        <w:t>reported.</w:t>
      </w:r>
      <w:r>
        <w:rPr>
          <w:spacing w:val="41"/>
        </w:rPr>
        <w:t xml:space="preserve"> </w:t>
      </w:r>
      <w:r>
        <w:t xml:space="preserve">Physical examination showed intact sensation in both UEs. The examiner assessed “peripheral neuropathy of the upper </w:t>
      </w:r>
      <w:r>
        <w:t>extremities, more likely than not from the B12</w:t>
      </w:r>
      <w:r>
        <w:rPr>
          <w:spacing w:val="-35"/>
        </w:rPr>
        <w:t xml:space="preserve"> </w:t>
      </w:r>
      <w:r>
        <w:t>deficiency.”</w:t>
      </w:r>
    </w:p>
    <w:p w:rsidR="009D1507" w:rsidRDefault="009D1507">
      <w:pPr>
        <w:pStyle w:val="BodyText"/>
        <w:spacing w:before="3"/>
        <w:rPr>
          <w:sz w:val="19"/>
        </w:rPr>
      </w:pPr>
    </w:p>
    <w:p w:rsidR="009D1507" w:rsidRDefault="002C03F9">
      <w:pPr>
        <w:pStyle w:val="BodyText"/>
        <w:spacing w:line="240" w:lineRule="exact"/>
        <w:ind w:left="100" w:right="113"/>
        <w:jc w:val="both"/>
      </w:pPr>
      <w:r>
        <w:t>The panel directed attention to its rating recommendation based on the above evidence. The PEB rated the condition 10%, coded analogously 8199-8105 (Sydenham’s chorea), rated as mild. The VA rate</w:t>
      </w:r>
      <w:r>
        <w:t xml:space="preserve">d the conditions of peripheral neuropathy left lower extremity and peripheral neuropathy right lower extremity, 10% each, coded 8799-8722 (analogous to neuralgia). The conditions of right and left upper extremity peripheral neuropathy were added later for </w:t>
      </w:r>
      <w:r>
        <w:t>additional 10% each rating, coded 8799-8722.</w:t>
      </w:r>
    </w:p>
    <w:p w:rsidR="009D1507" w:rsidRDefault="009D1507">
      <w:pPr>
        <w:spacing w:line="240" w:lineRule="exact"/>
        <w:jc w:val="both"/>
        <w:sectPr w:rsidR="009D1507">
          <w:footerReference w:type="default" r:id="rId12"/>
          <w:pgSz w:w="12240" w:h="15840"/>
          <w:pgMar w:top="1380" w:right="1320" w:bottom="1180" w:left="1340" w:header="0" w:footer="986" w:gutter="0"/>
          <w:pgNumType w:start="2"/>
          <w:cols w:space="720"/>
        </w:sectPr>
      </w:pPr>
    </w:p>
    <w:p w:rsidR="009D1507" w:rsidRDefault="002C03F9">
      <w:pPr>
        <w:pStyle w:val="BodyText"/>
        <w:spacing w:before="64" w:line="196" w:lineRule="auto"/>
        <w:ind w:left="160" w:right="153"/>
        <w:jc w:val="both"/>
      </w:pPr>
      <w:r>
        <w:lastRenderedPageBreak/>
        <w:t>Although</w:t>
      </w:r>
      <w:r>
        <w:rPr>
          <w:spacing w:val="-17"/>
        </w:rPr>
        <w:t xml:space="preserve"> </w:t>
      </w:r>
      <w:r>
        <w:t>the</w:t>
      </w:r>
      <w:r>
        <w:rPr>
          <w:spacing w:val="-18"/>
        </w:rPr>
        <w:t xml:space="preserve"> </w:t>
      </w:r>
      <w:r>
        <w:t>PEB</w:t>
      </w:r>
      <w:r>
        <w:rPr>
          <w:spacing w:val="-17"/>
        </w:rPr>
        <w:t xml:space="preserve"> </w:t>
      </w:r>
      <w:r>
        <w:t>did</w:t>
      </w:r>
      <w:r>
        <w:rPr>
          <w:spacing w:val="-15"/>
        </w:rPr>
        <w:t xml:space="preserve"> </w:t>
      </w:r>
      <w:r>
        <w:t>not</w:t>
      </w:r>
      <w:r>
        <w:rPr>
          <w:spacing w:val="-16"/>
        </w:rPr>
        <w:t xml:space="preserve"> </w:t>
      </w:r>
      <w:r>
        <w:t>state</w:t>
      </w:r>
      <w:r>
        <w:rPr>
          <w:spacing w:val="-15"/>
        </w:rPr>
        <w:t xml:space="preserve"> </w:t>
      </w:r>
      <w:r>
        <w:t>specifically</w:t>
      </w:r>
      <w:r>
        <w:rPr>
          <w:spacing w:val="-16"/>
        </w:rPr>
        <w:t xml:space="preserve"> </w:t>
      </w:r>
      <w:r>
        <w:t>that</w:t>
      </w:r>
      <w:r>
        <w:rPr>
          <w:spacing w:val="-13"/>
        </w:rPr>
        <w:t xml:space="preserve"> </w:t>
      </w:r>
      <w:r>
        <w:t>bilateral</w:t>
      </w:r>
      <w:r>
        <w:rPr>
          <w:spacing w:val="-16"/>
        </w:rPr>
        <w:t xml:space="preserve"> </w:t>
      </w:r>
      <w:r>
        <w:t>lower</w:t>
      </w:r>
      <w:r>
        <w:rPr>
          <w:spacing w:val="-16"/>
        </w:rPr>
        <w:t xml:space="preserve"> </w:t>
      </w:r>
      <w:r>
        <w:t>extremity</w:t>
      </w:r>
      <w:r>
        <w:rPr>
          <w:spacing w:val="-15"/>
        </w:rPr>
        <w:t xml:space="preserve"> </w:t>
      </w:r>
      <w:r>
        <w:t>was</w:t>
      </w:r>
      <w:r>
        <w:rPr>
          <w:spacing w:val="-16"/>
        </w:rPr>
        <w:t xml:space="preserve"> </w:t>
      </w:r>
      <w:r>
        <w:t>included</w:t>
      </w:r>
      <w:r>
        <w:rPr>
          <w:spacing w:val="-15"/>
        </w:rPr>
        <w:t xml:space="preserve"> </w:t>
      </w:r>
      <w:r>
        <w:t>in</w:t>
      </w:r>
      <w:r>
        <w:rPr>
          <w:spacing w:val="-15"/>
        </w:rPr>
        <w:t xml:space="preserve"> </w:t>
      </w:r>
      <w:r>
        <w:t>its</w:t>
      </w:r>
      <w:r>
        <w:rPr>
          <w:spacing w:val="-15"/>
        </w:rPr>
        <w:t xml:space="preserve"> </w:t>
      </w:r>
      <w:r>
        <w:t>rating, the panel agreed that the PEB’s intentions were to include it. The language of “B12 deficiency with bilateral sensory loss and paresthesias” reflected the neurology consultation diagnosis, absent</w:t>
      </w:r>
      <w:r>
        <w:rPr>
          <w:spacing w:val="-10"/>
        </w:rPr>
        <w:t xml:space="preserve"> </w:t>
      </w:r>
      <w:r>
        <w:t>the</w:t>
      </w:r>
      <w:r>
        <w:rPr>
          <w:spacing w:val="-8"/>
        </w:rPr>
        <w:t xml:space="preserve"> </w:t>
      </w:r>
      <w:r>
        <w:t>specifier,</w:t>
      </w:r>
      <w:r>
        <w:rPr>
          <w:spacing w:val="-8"/>
        </w:rPr>
        <w:t xml:space="preserve"> </w:t>
      </w:r>
      <w:r>
        <w:t>“bilateral</w:t>
      </w:r>
      <w:r>
        <w:rPr>
          <w:spacing w:val="-11"/>
        </w:rPr>
        <w:t xml:space="preserve"> </w:t>
      </w:r>
      <w:r>
        <w:t>lower</w:t>
      </w:r>
      <w:r>
        <w:rPr>
          <w:spacing w:val="-11"/>
        </w:rPr>
        <w:t xml:space="preserve"> </w:t>
      </w:r>
      <w:r>
        <w:t>extremity.”</w:t>
      </w:r>
      <w:r>
        <w:rPr>
          <w:spacing w:val="34"/>
        </w:rPr>
        <w:t xml:space="preserve"> </w:t>
      </w:r>
      <w:r>
        <w:t>Therefore,</w:t>
      </w:r>
      <w:r>
        <w:rPr>
          <w:spacing w:val="-13"/>
        </w:rPr>
        <w:t xml:space="preserve"> </w:t>
      </w:r>
      <w:r>
        <w:t>the</w:t>
      </w:r>
      <w:r>
        <w:rPr>
          <w:spacing w:val="-13"/>
        </w:rPr>
        <w:t xml:space="preserve"> </w:t>
      </w:r>
      <w:r>
        <w:t>panel</w:t>
      </w:r>
      <w:r>
        <w:rPr>
          <w:spacing w:val="-11"/>
        </w:rPr>
        <w:t xml:space="preserve"> </w:t>
      </w:r>
      <w:r>
        <w:t>agreed,</w:t>
      </w:r>
      <w:r>
        <w:rPr>
          <w:spacing w:val="-11"/>
        </w:rPr>
        <w:t xml:space="preserve"> </w:t>
      </w:r>
      <w:r>
        <w:t>the</w:t>
      </w:r>
      <w:r>
        <w:rPr>
          <w:spacing w:val="-11"/>
        </w:rPr>
        <w:t xml:space="preserve"> </w:t>
      </w:r>
      <w:r>
        <w:t>bilateral</w:t>
      </w:r>
      <w:r>
        <w:rPr>
          <w:spacing w:val="-11"/>
        </w:rPr>
        <w:t xml:space="preserve"> </w:t>
      </w:r>
      <w:r>
        <w:t>lower extremity was part of the PEB’s adjudication. The 8105 diagnostic code is not specific to any extremity,</w:t>
      </w:r>
      <w:r>
        <w:rPr>
          <w:spacing w:val="-14"/>
        </w:rPr>
        <w:t xml:space="preserve"> </w:t>
      </w:r>
      <w:r>
        <w:t>i.e.,</w:t>
      </w:r>
      <w:r>
        <w:rPr>
          <w:spacing w:val="-12"/>
        </w:rPr>
        <w:t xml:space="preserve"> </w:t>
      </w:r>
      <w:r>
        <w:t>the</w:t>
      </w:r>
      <w:r>
        <w:rPr>
          <w:spacing w:val="-11"/>
        </w:rPr>
        <w:t xml:space="preserve"> </w:t>
      </w:r>
      <w:r>
        <w:t>code</w:t>
      </w:r>
      <w:r>
        <w:rPr>
          <w:spacing w:val="-11"/>
        </w:rPr>
        <w:t xml:space="preserve"> </w:t>
      </w:r>
      <w:r>
        <w:t>reflects</w:t>
      </w:r>
      <w:r>
        <w:rPr>
          <w:spacing w:val="-11"/>
        </w:rPr>
        <w:t xml:space="preserve"> </w:t>
      </w:r>
      <w:r>
        <w:t>a</w:t>
      </w:r>
      <w:r>
        <w:rPr>
          <w:spacing w:val="-13"/>
        </w:rPr>
        <w:t xml:space="preserve"> </w:t>
      </w:r>
      <w:r>
        <w:t>generalized</w:t>
      </w:r>
      <w:r>
        <w:rPr>
          <w:spacing w:val="-12"/>
        </w:rPr>
        <w:t xml:space="preserve"> </w:t>
      </w:r>
      <w:r>
        <w:t>movement</w:t>
      </w:r>
      <w:r>
        <w:rPr>
          <w:spacing w:val="-10"/>
        </w:rPr>
        <w:t xml:space="preserve"> </w:t>
      </w:r>
      <w:r>
        <w:t>disorder.</w:t>
      </w:r>
      <w:r>
        <w:rPr>
          <w:spacing w:val="30"/>
        </w:rPr>
        <w:t xml:space="preserve"> </w:t>
      </w:r>
      <w:r>
        <w:t>Thus,</w:t>
      </w:r>
      <w:r>
        <w:rPr>
          <w:spacing w:val="-11"/>
        </w:rPr>
        <w:t xml:space="preserve"> </w:t>
      </w:r>
      <w:r>
        <w:t>a</w:t>
      </w:r>
      <w:r>
        <w:rPr>
          <w:spacing w:val="-16"/>
        </w:rPr>
        <w:t xml:space="preserve"> </w:t>
      </w:r>
      <w:r>
        <w:t>rating</w:t>
      </w:r>
      <w:r>
        <w:rPr>
          <w:spacing w:val="-14"/>
        </w:rPr>
        <w:t xml:space="preserve"> </w:t>
      </w:r>
      <w:r>
        <w:t>under</w:t>
      </w:r>
      <w:r>
        <w:rPr>
          <w:spacing w:val="-13"/>
        </w:rPr>
        <w:t xml:space="preserve"> </w:t>
      </w:r>
      <w:r>
        <w:t>this</w:t>
      </w:r>
      <w:r>
        <w:rPr>
          <w:spacing w:val="-14"/>
        </w:rPr>
        <w:t xml:space="preserve"> </w:t>
      </w:r>
      <w:r>
        <w:t xml:space="preserve">code would include </w:t>
      </w:r>
      <w:r>
        <w:t>all</w:t>
      </w:r>
      <w:r>
        <w:rPr>
          <w:spacing w:val="-11"/>
        </w:rPr>
        <w:t xml:space="preserve"> </w:t>
      </w:r>
      <w:r>
        <w:t>extremities.</w:t>
      </w:r>
    </w:p>
    <w:p w:rsidR="009D1507" w:rsidRDefault="009D1507">
      <w:pPr>
        <w:pStyle w:val="BodyText"/>
        <w:spacing w:before="2"/>
        <w:rPr>
          <w:sz w:val="19"/>
        </w:rPr>
      </w:pPr>
    </w:p>
    <w:p w:rsidR="009D1507" w:rsidRDefault="002C03F9">
      <w:pPr>
        <w:pStyle w:val="BodyText"/>
        <w:spacing w:line="240" w:lineRule="exact"/>
        <w:ind w:left="160" w:right="153"/>
        <w:jc w:val="both"/>
      </w:pPr>
      <w:r>
        <w:t>The panel considered the neurological consultation examination, the NARSUM and the C&amp;P examination.</w:t>
      </w:r>
      <w:r>
        <w:rPr>
          <w:spacing w:val="37"/>
        </w:rPr>
        <w:t xml:space="preserve"> </w:t>
      </w:r>
      <w:r>
        <w:t>Each</w:t>
      </w:r>
      <w:r>
        <w:rPr>
          <w:spacing w:val="-8"/>
        </w:rPr>
        <w:t xml:space="preserve"> </w:t>
      </w:r>
      <w:r>
        <w:t>examination</w:t>
      </w:r>
      <w:r>
        <w:rPr>
          <w:spacing w:val="-8"/>
        </w:rPr>
        <w:t xml:space="preserve"> </w:t>
      </w:r>
      <w:r>
        <w:t>noted</w:t>
      </w:r>
      <w:r>
        <w:rPr>
          <w:spacing w:val="-8"/>
        </w:rPr>
        <w:t xml:space="preserve"> </w:t>
      </w:r>
      <w:r>
        <w:t>the</w:t>
      </w:r>
      <w:r>
        <w:rPr>
          <w:spacing w:val="-6"/>
        </w:rPr>
        <w:t xml:space="preserve"> </w:t>
      </w:r>
      <w:r>
        <w:t>good</w:t>
      </w:r>
      <w:r>
        <w:rPr>
          <w:spacing w:val="-11"/>
        </w:rPr>
        <w:t xml:space="preserve"> </w:t>
      </w:r>
      <w:r>
        <w:t>motor</w:t>
      </w:r>
      <w:r>
        <w:rPr>
          <w:spacing w:val="-9"/>
        </w:rPr>
        <w:t xml:space="preserve"> </w:t>
      </w:r>
      <w:r>
        <w:t>strength,</w:t>
      </w:r>
      <w:r>
        <w:rPr>
          <w:spacing w:val="-6"/>
        </w:rPr>
        <w:t xml:space="preserve"> </w:t>
      </w:r>
      <w:r>
        <w:t>absence</w:t>
      </w:r>
      <w:r>
        <w:rPr>
          <w:spacing w:val="-12"/>
        </w:rPr>
        <w:t xml:space="preserve"> </w:t>
      </w:r>
      <w:r>
        <w:t>of</w:t>
      </w:r>
      <w:r>
        <w:rPr>
          <w:spacing w:val="-6"/>
        </w:rPr>
        <w:t xml:space="preserve"> </w:t>
      </w:r>
      <w:r>
        <w:t>muscle</w:t>
      </w:r>
      <w:r>
        <w:rPr>
          <w:spacing w:val="-7"/>
        </w:rPr>
        <w:t xml:space="preserve"> </w:t>
      </w:r>
      <w:r>
        <w:t>atrophy,</w:t>
      </w:r>
      <w:r>
        <w:rPr>
          <w:spacing w:val="-8"/>
        </w:rPr>
        <w:t xml:space="preserve"> </w:t>
      </w:r>
      <w:r>
        <w:t xml:space="preserve">and some degree of sensory loss, particularly in the LE with the exception of the C&amp;P examination. The C&amp;P examination documented normal sensory function in the bilateral UE, and the LE was not evaluated. Evidence of gait disturbance, loss of muscle tone, </w:t>
      </w:r>
      <w:r>
        <w:t>arm or legs giving out, vascular compromise, or loss of reflexes was absent. The panel agreed the evidence supports the 10% rating and no higher for the</w:t>
      </w:r>
      <w:r>
        <w:rPr>
          <w:spacing w:val="-13"/>
        </w:rPr>
        <w:t xml:space="preserve"> </w:t>
      </w:r>
      <w:r>
        <w:t>condition.</w:t>
      </w:r>
    </w:p>
    <w:p w:rsidR="009D1507" w:rsidRDefault="009D1507">
      <w:pPr>
        <w:pStyle w:val="BodyText"/>
        <w:spacing w:before="8"/>
        <w:rPr>
          <w:sz w:val="19"/>
        </w:rPr>
      </w:pPr>
    </w:p>
    <w:p w:rsidR="009D1507" w:rsidRDefault="002C03F9">
      <w:pPr>
        <w:pStyle w:val="BodyText"/>
        <w:spacing w:line="240" w:lineRule="exact"/>
        <w:ind w:left="160" w:right="154"/>
        <w:jc w:val="both"/>
      </w:pPr>
      <w:r>
        <w:t>The panel adjudged that the upper and lower extremity conditions were an integral component</w:t>
      </w:r>
      <w:r>
        <w:t xml:space="preserve"> of</w:t>
      </w:r>
      <w:r>
        <w:rPr>
          <w:spacing w:val="-8"/>
        </w:rPr>
        <w:t xml:space="preserve"> </w:t>
      </w:r>
      <w:r>
        <w:t>the</w:t>
      </w:r>
      <w:r>
        <w:rPr>
          <w:spacing w:val="-9"/>
        </w:rPr>
        <w:t xml:space="preserve"> </w:t>
      </w:r>
      <w:r>
        <w:t>B12</w:t>
      </w:r>
      <w:r>
        <w:rPr>
          <w:spacing w:val="-11"/>
        </w:rPr>
        <w:t xml:space="preserve"> </w:t>
      </w:r>
      <w:r>
        <w:t>deficiency</w:t>
      </w:r>
      <w:r>
        <w:rPr>
          <w:spacing w:val="-9"/>
        </w:rPr>
        <w:t xml:space="preserve"> </w:t>
      </w:r>
      <w:r>
        <w:t>pathology</w:t>
      </w:r>
      <w:r>
        <w:rPr>
          <w:spacing w:val="-11"/>
        </w:rPr>
        <w:t xml:space="preserve"> </w:t>
      </w:r>
      <w:r>
        <w:t>and</w:t>
      </w:r>
      <w:r>
        <w:rPr>
          <w:spacing w:val="-9"/>
        </w:rPr>
        <w:t xml:space="preserve"> </w:t>
      </w:r>
      <w:r>
        <w:t>could</w:t>
      </w:r>
      <w:r>
        <w:rPr>
          <w:spacing w:val="-9"/>
        </w:rPr>
        <w:t xml:space="preserve"> </w:t>
      </w:r>
      <w:r>
        <w:t>not</w:t>
      </w:r>
      <w:r>
        <w:rPr>
          <w:spacing w:val="-9"/>
        </w:rPr>
        <w:t xml:space="preserve"> </w:t>
      </w:r>
      <w:r>
        <w:t>be</w:t>
      </w:r>
      <w:r>
        <w:rPr>
          <w:spacing w:val="-11"/>
        </w:rPr>
        <w:t xml:space="preserve"> </w:t>
      </w:r>
      <w:r>
        <w:t>recommended</w:t>
      </w:r>
      <w:r>
        <w:rPr>
          <w:spacing w:val="-11"/>
        </w:rPr>
        <w:t xml:space="preserve"> </w:t>
      </w:r>
      <w:r>
        <w:t>for</w:t>
      </w:r>
      <w:r>
        <w:rPr>
          <w:spacing w:val="-9"/>
        </w:rPr>
        <w:t xml:space="preserve"> </w:t>
      </w:r>
      <w:r>
        <w:t>additional</w:t>
      </w:r>
      <w:r>
        <w:rPr>
          <w:spacing w:val="-9"/>
        </w:rPr>
        <w:t xml:space="preserve"> </w:t>
      </w:r>
      <w:r>
        <w:t>rating</w:t>
      </w:r>
      <w:r>
        <w:rPr>
          <w:spacing w:val="-10"/>
        </w:rPr>
        <w:t xml:space="preserve"> </w:t>
      </w:r>
      <w:r>
        <w:t>IAW</w:t>
      </w:r>
      <w:r>
        <w:rPr>
          <w:spacing w:val="-10"/>
        </w:rPr>
        <w:t xml:space="preserve"> </w:t>
      </w:r>
      <w:r>
        <w:t>VASRD</w:t>
      </w:r>
    </w:p>
    <w:p w:rsidR="009D1507" w:rsidRDefault="002C03F9">
      <w:pPr>
        <w:pStyle w:val="BodyText"/>
        <w:spacing w:line="240" w:lineRule="exact"/>
        <w:ind w:left="160" w:right="154"/>
        <w:jc w:val="both"/>
      </w:pPr>
      <w:r>
        <w:t>4.14 (avoidance of pyramiding). The panel acknowledged the C&amp;P examiner’s assessment of peripheral neuropathy condition in the upper extremities; however, the pre</w:t>
      </w:r>
      <w:r>
        <w:t>sence of peripheral neuropathy</w:t>
      </w:r>
      <w:r>
        <w:rPr>
          <w:spacing w:val="-6"/>
        </w:rPr>
        <w:t xml:space="preserve"> </w:t>
      </w:r>
      <w:r>
        <w:t>in</w:t>
      </w:r>
      <w:r>
        <w:rPr>
          <w:spacing w:val="-6"/>
        </w:rPr>
        <w:t xml:space="preserve"> </w:t>
      </w:r>
      <w:r>
        <w:t>any</w:t>
      </w:r>
      <w:r>
        <w:rPr>
          <w:spacing w:val="-4"/>
        </w:rPr>
        <w:t xml:space="preserve"> </w:t>
      </w:r>
      <w:r>
        <w:t>extremity</w:t>
      </w:r>
      <w:r>
        <w:rPr>
          <w:spacing w:val="-6"/>
        </w:rPr>
        <w:t xml:space="preserve"> </w:t>
      </w:r>
      <w:r>
        <w:t>was</w:t>
      </w:r>
      <w:r>
        <w:rPr>
          <w:spacing w:val="-5"/>
        </w:rPr>
        <w:t xml:space="preserve"> </w:t>
      </w:r>
      <w:r>
        <w:t>not</w:t>
      </w:r>
      <w:r>
        <w:rPr>
          <w:spacing w:val="-5"/>
        </w:rPr>
        <w:t xml:space="preserve"> </w:t>
      </w:r>
      <w:r>
        <w:t>diagnosed</w:t>
      </w:r>
      <w:r>
        <w:rPr>
          <w:spacing w:val="-4"/>
        </w:rPr>
        <w:t xml:space="preserve"> </w:t>
      </w:r>
      <w:r>
        <w:t>in</w:t>
      </w:r>
      <w:r>
        <w:rPr>
          <w:spacing w:val="-4"/>
        </w:rPr>
        <w:t xml:space="preserve"> </w:t>
      </w:r>
      <w:r>
        <w:t>the</w:t>
      </w:r>
      <w:r>
        <w:rPr>
          <w:spacing w:val="-4"/>
        </w:rPr>
        <w:t xml:space="preserve"> </w:t>
      </w:r>
      <w:r>
        <w:t>NARSUM</w:t>
      </w:r>
      <w:r>
        <w:rPr>
          <w:spacing w:val="-4"/>
        </w:rPr>
        <w:t xml:space="preserve"> </w:t>
      </w:r>
      <w:r>
        <w:t>or</w:t>
      </w:r>
      <w:r>
        <w:rPr>
          <w:spacing w:val="-7"/>
        </w:rPr>
        <w:t xml:space="preserve"> </w:t>
      </w:r>
      <w:r>
        <w:t>the</w:t>
      </w:r>
      <w:r>
        <w:rPr>
          <w:spacing w:val="-4"/>
        </w:rPr>
        <w:t xml:space="preserve"> </w:t>
      </w:r>
      <w:r>
        <w:t>neurological</w:t>
      </w:r>
      <w:r>
        <w:rPr>
          <w:spacing w:val="-5"/>
        </w:rPr>
        <w:t xml:space="preserve"> </w:t>
      </w:r>
      <w:r>
        <w:t>consultation examination. Therefore, the panel agreed there was insufficient evidence to support a rating under the 8722 code or under any of the peripheral</w:t>
      </w:r>
      <w:r>
        <w:t xml:space="preserve"> neuropathy code. After due deliberation, considering all of the evidence and mindful of VASRD §4.3 (reasonable doubt), the panel concluded that there was insufficient cause to recommend a change in the PEB adjudication for the B12 deficiency</w:t>
      </w:r>
      <w:r>
        <w:rPr>
          <w:spacing w:val="-8"/>
        </w:rPr>
        <w:t xml:space="preserve"> </w:t>
      </w:r>
      <w:r>
        <w:t>condition.</w:t>
      </w:r>
    </w:p>
    <w:p w:rsidR="009D1507" w:rsidRDefault="002C03F9">
      <w:pPr>
        <w:pStyle w:val="BodyText"/>
        <w:spacing w:before="2"/>
        <w:rPr>
          <w:sz w:val="18"/>
        </w:rPr>
      </w:pPr>
      <w:r>
        <w:pict>
          <v:line id="_x0000_s1027" style="position:absolute;z-index:251659776;mso-wrap-distance-left:0;mso-wrap-distance-right:0;mso-position-horizontal-relative:page" from="70.6pt,13.8pt" to="541.55pt,13.8pt" strokeweight="1.44pt">
            <w10:wrap type="topAndBottom" anchorx="page"/>
          </v:line>
        </w:pict>
      </w:r>
    </w:p>
    <w:p w:rsidR="009D1507" w:rsidRDefault="009D1507">
      <w:pPr>
        <w:pStyle w:val="BodyText"/>
        <w:rPr>
          <w:sz w:val="10"/>
        </w:rPr>
      </w:pPr>
    </w:p>
    <w:p w:rsidR="009D1507" w:rsidRDefault="002C03F9">
      <w:pPr>
        <w:pStyle w:val="BodyText"/>
        <w:spacing w:before="93" w:line="196" w:lineRule="auto"/>
        <w:ind w:left="160" w:right="155"/>
        <w:jc w:val="both"/>
      </w:pPr>
      <w:r>
        <w:rPr>
          <w:u w:val="single"/>
        </w:rPr>
        <w:t>BOARD FINDINGS</w:t>
      </w:r>
      <w:r>
        <w:t>: In the matter of the B12 deficiency condition and IAW VASRD §4.124a, the panel recommends no change in the PEB adjudication. There are no other conditions within the panel’s</w:t>
      </w:r>
      <w:r>
        <w:rPr>
          <w:spacing w:val="-10"/>
        </w:rPr>
        <w:t xml:space="preserve"> </w:t>
      </w:r>
      <w:r>
        <w:t>scope</w:t>
      </w:r>
      <w:r>
        <w:rPr>
          <w:spacing w:val="-10"/>
        </w:rPr>
        <w:t xml:space="preserve"> </w:t>
      </w:r>
      <w:r>
        <w:t>of</w:t>
      </w:r>
      <w:r>
        <w:rPr>
          <w:spacing w:val="-8"/>
        </w:rPr>
        <w:t xml:space="preserve"> </w:t>
      </w:r>
      <w:r>
        <w:t>review</w:t>
      </w:r>
      <w:r>
        <w:rPr>
          <w:spacing w:val="-11"/>
        </w:rPr>
        <w:t xml:space="preserve"> </w:t>
      </w:r>
      <w:r>
        <w:t>for</w:t>
      </w:r>
      <w:r>
        <w:rPr>
          <w:spacing w:val="-7"/>
        </w:rPr>
        <w:t xml:space="preserve"> </w:t>
      </w:r>
      <w:r>
        <w:t>consideration.</w:t>
      </w:r>
      <w:r>
        <w:rPr>
          <w:spacing w:val="40"/>
        </w:rPr>
        <w:t xml:space="preserve"> </w:t>
      </w:r>
      <w:r>
        <w:t>The</w:t>
      </w:r>
      <w:r>
        <w:rPr>
          <w:spacing w:val="-9"/>
        </w:rPr>
        <w:t xml:space="preserve"> </w:t>
      </w:r>
      <w:r>
        <w:t>panel,</w:t>
      </w:r>
      <w:r>
        <w:rPr>
          <w:spacing w:val="-10"/>
        </w:rPr>
        <w:t xml:space="preserve"> </w:t>
      </w:r>
      <w:r>
        <w:t>therefore,</w:t>
      </w:r>
      <w:r>
        <w:rPr>
          <w:spacing w:val="-9"/>
        </w:rPr>
        <w:t xml:space="preserve"> </w:t>
      </w:r>
      <w:r>
        <w:t>recommen</w:t>
      </w:r>
      <w:r>
        <w:t>ds</w:t>
      </w:r>
      <w:r>
        <w:rPr>
          <w:spacing w:val="-10"/>
        </w:rPr>
        <w:t xml:space="preserve"> </w:t>
      </w:r>
      <w:r>
        <w:t>no</w:t>
      </w:r>
      <w:r>
        <w:rPr>
          <w:spacing w:val="-6"/>
        </w:rPr>
        <w:t xml:space="preserve"> </w:t>
      </w:r>
      <w:r>
        <w:t>modification</w:t>
      </w:r>
      <w:r>
        <w:rPr>
          <w:spacing w:val="-9"/>
        </w:rPr>
        <w:t xml:space="preserve"> </w:t>
      </w:r>
      <w:r>
        <w:t>or re-characterization of the CI’s disability and separation</w:t>
      </w:r>
      <w:r>
        <w:rPr>
          <w:spacing w:val="-24"/>
        </w:rPr>
        <w:t xml:space="preserve"> </w:t>
      </w:r>
      <w:r>
        <w:t>determination.</w:t>
      </w:r>
    </w:p>
    <w:p w:rsidR="009D1507" w:rsidRDefault="002C03F9">
      <w:pPr>
        <w:pStyle w:val="BodyText"/>
        <w:spacing w:before="9"/>
        <w:rPr>
          <w:sz w:val="17"/>
        </w:rPr>
      </w:pPr>
      <w:r>
        <w:pict>
          <v:line id="_x0000_s1026" style="position:absolute;z-index:251660800;mso-wrap-distance-left:0;mso-wrap-distance-right:0;mso-position-horizontal-relative:page" from="70.6pt,13.55pt" to="541.55pt,13.55pt" strokeweight="1.44pt">
            <w10:wrap type="topAndBottom" anchorx="page"/>
          </v:line>
        </w:pict>
      </w:r>
    </w:p>
    <w:p w:rsidR="009D1507" w:rsidRDefault="009D1507">
      <w:pPr>
        <w:pStyle w:val="BodyText"/>
        <w:rPr>
          <w:sz w:val="10"/>
        </w:rPr>
      </w:pPr>
    </w:p>
    <w:p w:rsidR="009D1507" w:rsidRDefault="002C03F9">
      <w:pPr>
        <w:pStyle w:val="BodyText"/>
        <w:spacing w:before="52"/>
        <w:ind w:left="160"/>
      </w:pPr>
      <w:r>
        <w:t>The following documentary evidence was considered:</w:t>
      </w:r>
    </w:p>
    <w:p w:rsidR="009D1507" w:rsidRDefault="009D1507">
      <w:pPr>
        <w:pStyle w:val="BodyText"/>
        <w:spacing w:before="3"/>
        <w:rPr>
          <w:sz w:val="18"/>
        </w:rPr>
      </w:pPr>
    </w:p>
    <w:p w:rsidR="009D1507" w:rsidRDefault="002C03F9">
      <w:pPr>
        <w:pStyle w:val="BodyText"/>
        <w:spacing w:line="240" w:lineRule="exact"/>
        <w:ind w:left="160" w:right="3306"/>
      </w:pPr>
      <w:r>
        <w:t>Exhibit A. DD Form 294, dated 20160401, w/attachments Exhibit B.  Service Treatment Record</w:t>
      </w:r>
    </w:p>
    <w:p w:rsidR="009D1507" w:rsidRDefault="002C03F9">
      <w:pPr>
        <w:pStyle w:val="BodyText"/>
        <w:spacing w:line="256" w:lineRule="exact"/>
        <w:ind w:left="160"/>
      </w:pPr>
      <w:r>
        <w:t>Exhibit C.  Department of Veterans Affairs Treatment Record</w:t>
      </w:r>
    </w:p>
    <w:p w:rsidR="009D1507" w:rsidRDefault="009D1507">
      <w:pPr>
        <w:spacing w:line="256" w:lineRule="exact"/>
        <w:sectPr w:rsidR="009D1507">
          <w:pgSz w:w="12240" w:h="15840"/>
          <w:pgMar w:top="1380" w:right="1280" w:bottom="1180" w:left="1280" w:header="0" w:footer="986" w:gutter="0"/>
          <w:cols w:space="720"/>
        </w:sectPr>
      </w:pPr>
    </w:p>
    <w:p w:rsidR="009D1507" w:rsidRDefault="009D1507">
      <w:pPr>
        <w:pStyle w:val="BodyText"/>
        <w:rPr>
          <w:sz w:val="20"/>
        </w:rPr>
      </w:pPr>
    </w:p>
    <w:p w:rsidR="009D1507" w:rsidRDefault="009D1507">
      <w:pPr>
        <w:pStyle w:val="BodyText"/>
        <w:rPr>
          <w:sz w:val="20"/>
        </w:rPr>
      </w:pPr>
    </w:p>
    <w:p w:rsidR="009D1507" w:rsidRDefault="009D1507">
      <w:pPr>
        <w:pStyle w:val="BodyText"/>
        <w:spacing w:before="9"/>
        <w:rPr>
          <w:sz w:val="15"/>
        </w:rPr>
      </w:pPr>
    </w:p>
    <w:p w:rsidR="009D1507" w:rsidRDefault="002C03F9">
      <w:pPr>
        <w:ind w:left="100"/>
        <w:rPr>
          <w:sz w:val="18"/>
        </w:rPr>
      </w:pPr>
      <w:r>
        <w:rPr>
          <w:sz w:val="18"/>
        </w:rPr>
        <w:t>AR20170015410 , XXXXXXXXXXXXXXXXXX</w:t>
      </w:r>
    </w:p>
    <w:p w:rsidR="009D1507" w:rsidRDefault="009D1507">
      <w:pPr>
        <w:pStyle w:val="BodyText"/>
        <w:rPr>
          <w:sz w:val="18"/>
        </w:rPr>
      </w:pPr>
    </w:p>
    <w:p w:rsidR="009D1507" w:rsidRDefault="009D1507">
      <w:pPr>
        <w:pStyle w:val="BodyText"/>
        <w:rPr>
          <w:sz w:val="18"/>
        </w:rPr>
      </w:pPr>
    </w:p>
    <w:p w:rsidR="009D1507" w:rsidRDefault="009D1507">
      <w:pPr>
        <w:pStyle w:val="BodyText"/>
        <w:rPr>
          <w:sz w:val="18"/>
        </w:rPr>
      </w:pPr>
    </w:p>
    <w:p w:rsidR="009D1507" w:rsidRDefault="009D1507">
      <w:pPr>
        <w:pStyle w:val="BodyText"/>
        <w:spacing w:before="3"/>
        <w:rPr>
          <w:sz w:val="26"/>
        </w:rPr>
      </w:pPr>
    </w:p>
    <w:p w:rsidR="009D1507" w:rsidRDefault="002C03F9">
      <w:pPr>
        <w:ind w:left="100"/>
        <w:rPr>
          <w:sz w:val="18"/>
        </w:rPr>
      </w:pPr>
      <w:r>
        <w:rPr>
          <w:sz w:val="18"/>
        </w:rPr>
        <w:t>XXXXXXXXXXXXXXXXXX</w:t>
      </w:r>
    </w:p>
    <w:p w:rsidR="009D1507" w:rsidRDefault="009D1507">
      <w:pPr>
        <w:pStyle w:val="BodyText"/>
        <w:spacing w:before="3"/>
        <w:rPr>
          <w:sz w:val="21"/>
        </w:rPr>
      </w:pPr>
    </w:p>
    <w:p w:rsidR="009D1507" w:rsidRDefault="002C03F9">
      <w:pPr>
        <w:spacing w:before="1"/>
        <w:ind w:left="100"/>
        <w:rPr>
          <w:sz w:val="18"/>
        </w:rPr>
      </w:pPr>
      <w:r>
        <w:rPr>
          <w:sz w:val="18"/>
        </w:rPr>
        <w:t>Dear XXXXXXXXXXXXXXXXXX:</w:t>
      </w:r>
    </w:p>
    <w:p w:rsidR="009D1507" w:rsidRDefault="009D1507">
      <w:pPr>
        <w:pStyle w:val="BodyText"/>
        <w:rPr>
          <w:sz w:val="18"/>
        </w:rPr>
      </w:pPr>
    </w:p>
    <w:p w:rsidR="009D1507" w:rsidRDefault="009D1507">
      <w:pPr>
        <w:pStyle w:val="BodyText"/>
        <w:spacing w:before="12"/>
        <w:rPr>
          <w:sz w:val="22"/>
        </w:rPr>
      </w:pPr>
    </w:p>
    <w:p w:rsidR="009D1507" w:rsidRDefault="002C03F9">
      <w:pPr>
        <w:spacing w:line="261" w:lineRule="auto"/>
        <w:ind w:left="100" w:right="119" w:firstLine="5040"/>
        <w:jc w:val="both"/>
        <w:rPr>
          <w:sz w:val="18"/>
        </w:rPr>
      </w:pPr>
      <w:r>
        <w:rPr>
          <w:sz w:val="18"/>
        </w:rPr>
        <w:t>The Department of Defense Physical Disability Board of Review</w:t>
      </w:r>
      <w:r>
        <w:rPr>
          <w:spacing w:val="-4"/>
          <w:sz w:val="18"/>
        </w:rPr>
        <w:t xml:space="preserve"> </w:t>
      </w:r>
      <w:r>
        <w:rPr>
          <w:sz w:val="18"/>
        </w:rPr>
        <w:t>(DoD</w:t>
      </w:r>
      <w:r>
        <w:rPr>
          <w:spacing w:val="-5"/>
          <w:sz w:val="18"/>
        </w:rPr>
        <w:t xml:space="preserve"> </w:t>
      </w:r>
      <w:r>
        <w:rPr>
          <w:sz w:val="18"/>
        </w:rPr>
        <w:t>PDBR)</w:t>
      </w:r>
      <w:r>
        <w:rPr>
          <w:spacing w:val="-4"/>
          <w:sz w:val="18"/>
        </w:rPr>
        <w:t xml:space="preserve"> </w:t>
      </w:r>
      <w:r>
        <w:rPr>
          <w:sz w:val="18"/>
        </w:rPr>
        <w:t>reviewed</w:t>
      </w:r>
      <w:r>
        <w:rPr>
          <w:spacing w:val="-6"/>
          <w:sz w:val="18"/>
        </w:rPr>
        <w:t xml:space="preserve"> </w:t>
      </w:r>
      <w:r>
        <w:rPr>
          <w:sz w:val="18"/>
        </w:rPr>
        <w:t>your</w:t>
      </w:r>
      <w:r>
        <w:rPr>
          <w:spacing w:val="-5"/>
          <w:sz w:val="18"/>
        </w:rPr>
        <w:t xml:space="preserve"> </w:t>
      </w:r>
      <w:r>
        <w:rPr>
          <w:sz w:val="18"/>
        </w:rPr>
        <w:t>application</w:t>
      </w:r>
      <w:r>
        <w:rPr>
          <w:spacing w:val="-6"/>
          <w:sz w:val="18"/>
        </w:rPr>
        <w:t xml:space="preserve"> </w:t>
      </w:r>
      <w:r>
        <w:rPr>
          <w:sz w:val="18"/>
        </w:rPr>
        <w:t>and</w:t>
      </w:r>
      <w:r>
        <w:rPr>
          <w:spacing w:val="-6"/>
          <w:sz w:val="18"/>
        </w:rPr>
        <w:t xml:space="preserve"> </w:t>
      </w:r>
      <w:r>
        <w:rPr>
          <w:sz w:val="18"/>
        </w:rPr>
        <w:t>found</w:t>
      </w:r>
      <w:r>
        <w:rPr>
          <w:spacing w:val="-6"/>
          <w:sz w:val="18"/>
        </w:rPr>
        <w:t xml:space="preserve"> </w:t>
      </w:r>
      <w:r>
        <w:rPr>
          <w:sz w:val="18"/>
        </w:rPr>
        <w:t>your</w:t>
      </w:r>
      <w:r>
        <w:rPr>
          <w:spacing w:val="-5"/>
          <w:sz w:val="18"/>
        </w:rPr>
        <w:t xml:space="preserve"> </w:t>
      </w:r>
      <w:r>
        <w:rPr>
          <w:sz w:val="18"/>
        </w:rPr>
        <w:t>separation</w:t>
      </w:r>
      <w:r>
        <w:rPr>
          <w:spacing w:val="-6"/>
          <w:sz w:val="18"/>
        </w:rPr>
        <w:t xml:space="preserve"> </w:t>
      </w:r>
      <w:r>
        <w:rPr>
          <w:sz w:val="18"/>
        </w:rPr>
        <w:t>disability</w:t>
      </w:r>
      <w:r>
        <w:rPr>
          <w:spacing w:val="-5"/>
          <w:sz w:val="18"/>
        </w:rPr>
        <w:t xml:space="preserve"> </w:t>
      </w:r>
      <w:r>
        <w:rPr>
          <w:sz w:val="18"/>
        </w:rPr>
        <w:t>rating</w:t>
      </w:r>
      <w:r>
        <w:rPr>
          <w:spacing w:val="-5"/>
          <w:sz w:val="18"/>
        </w:rPr>
        <w:t xml:space="preserve"> </w:t>
      </w:r>
      <w:r>
        <w:rPr>
          <w:sz w:val="18"/>
        </w:rPr>
        <w:t>and</w:t>
      </w:r>
      <w:r>
        <w:rPr>
          <w:spacing w:val="-6"/>
          <w:sz w:val="18"/>
        </w:rPr>
        <w:t xml:space="preserve"> </w:t>
      </w:r>
      <w:r>
        <w:rPr>
          <w:sz w:val="18"/>
        </w:rPr>
        <w:t>your</w:t>
      </w:r>
      <w:r>
        <w:rPr>
          <w:spacing w:val="-5"/>
          <w:sz w:val="18"/>
        </w:rPr>
        <w:t xml:space="preserve"> </w:t>
      </w:r>
      <w:r>
        <w:rPr>
          <w:sz w:val="18"/>
        </w:rPr>
        <w:t>separation</w:t>
      </w:r>
      <w:r>
        <w:rPr>
          <w:spacing w:val="-6"/>
          <w:sz w:val="18"/>
        </w:rPr>
        <w:t xml:space="preserve"> </w:t>
      </w:r>
      <w:r>
        <w:rPr>
          <w:sz w:val="18"/>
        </w:rPr>
        <w:t>from</w:t>
      </w:r>
      <w:r>
        <w:rPr>
          <w:spacing w:val="-5"/>
          <w:sz w:val="18"/>
        </w:rPr>
        <w:t xml:space="preserve"> </w:t>
      </w:r>
      <w:r>
        <w:rPr>
          <w:sz w:val="18"/>
        </w:rPr>
        <w:t>the</w:t>
      </w:r>
      <w:r>
        <w:rPr>
          <w:spacing w:val="-6"/>
          <w:sz w:val="18"/>
        </w:rPr>
        <w:t xml:space="preserve"> </w:t>
      </w:r>
      <w:r>
        <w:rPr>
          <w:sz w:val="18"/>
        </w:rPr>
        <w:t>Army</w:t>
      </w:r>
      <w:r>
        <w:rPr>
          <w:spacing w:val="-5"/>
          <w:sz w:val="18"/>
        </w:rPr>
        <w:t xml:space="preserve"> </w:t>
      </w:r>
      <w:r>
        <w:rPr>
          <w:sz w:val="18"/>
        </w:rPr>
        <w:t>for disability with severance pay to be accurate. I have reviewed the Board’s recommendation and record of proceedings (copy enclosed), and I accept its recommendatio</w:t>
      </w:r>
      <w:r>
        <w:rPr>
          <w:sz w:val="18"/>
        </w:rPr>
        <w:t>n. I regret to inform you that your application to the DoD PDBR is</w:t>
      </w:r>
      <w:r>
        <w:rPr>
          <w:spacing w:val="4"/>
          <w:sz w:val="18"/>
        </w:rPr>
        <w:t xml:space="preserve"> </w:t>
      </w:r>
      <w:r>
        <w:rPr>
          <w:sz w:val="18"/>
        </w:rPr>
        <w:t>denied.</w:t>
      </w:r>
    </w:p>
    <w:p w:rsidR="009D1507" w:rsidRDefault="009D1507">
      <w:pPr>
        <w:pStyle w:val="BodyText"/>
        <w:spacing w:before="8"/>
        <w:rPr>
          <w:sz w:val="19"/>
        </w:rPr>
      </w:pPr>
    </w:p>
    <w:p w:rsidR="009D1507" w:rsidRDefault="002C03F9">
      <w:pPr>
        <w:spacing w:line="261" w:lineRule="auto"/>
        <w:ind w:left="100" w:right="120" w:firstLine="5040"/>
        <w:jc w:val="both"/>
        <w:rPr>
          <w:sz w:val="18"/>
        </w:rPr>
      </w:pPr>
      <w:r>
        <w:rPr>
          <w:sz w:val="18"/>
        </w:rPr>
        <w:t>This decision is final. Recourse within the Department of Defense or the Department of the Army is exhausted; however, you have the option to seek relief by filing suit in a court of appropriate jurisdiction.</w:t>
      </w:r>
    </w:p>
    <w:p w:rsidR="009D1507" w:rsidRDefault="009D1507">
      <w:pPr>
        <w:pStyle w:val="BodyText"/>
        <w:spacing w:before="8"/>
        <w:rPr>
          <w:sz w:val="19"/>
        </w:rPr>
      </w:pPr>
    </w:p>
    <w:p w:rsidR="009D1507" w:rsidRDefault="002C03F9">
      <w:pPr>
        <w:ind w:left="100"/>
        <w:rPr>
          <w:sz w:val="18"/>
        </w:rPr>
      </w:pPr>
      <w:r>
        <w:rPr>
          <w:sz w:val="18"/>
        </w:rPr>
        <w:t>Sincerely,</w:t>
      </w:r>
    </w:p>
    <w:p w:rsidR="009D1507" w:rsidRDefault="009D1507">
      <w:pPr>
        <w:pStyle w:val="BodyText"/>
        <w:rPr>
          <w:sz w:val="18"/>
        </w:rPr>
      </w:pPr>
    </w:p>
    <w:p w:rsidR="009D1507" w:rsidRDefault="009D1507">
      <w:pPr>
        <w:pStyle w:val="BodyText"/>
        <w:spacing w:before="11"/>
        <w:rPr>
          <w:sz w:val="22"/>
        </w:rPr>
      </w:pPr>
    </w:p>
    <w:p w:rsidR="009D1507" w:rsidRDefault="002C03F9">
      <w:pPr>
        <w:spacing w:before="1"/>
        <w:ind w:left="100"/>
        <w:rPr>
          <w:sz w:val="18"/>
        </w:rPr>
      </w:pPr>
      <w:r>
        <w:rPr>
          <w:sz w:val="18"/>
        </w:rPr>
        <w:t>Enclosure</w:t>
      </w:r>
    </w:p>
    <w:sectPr w:rsidR="009D1507">
      <w:pgSz w:w="12240" w:h="15840"/>
      <w:pgMar w:top="1500" w:right="1320" w:bottom="1180" w:left="1340" w:header="0"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C03F9">
      <w:r>
        <w:separator/>
      </w:r>
    </w:p>
  </w:endnote>
  <w:endnote w:type="continuationSeparator" w:id="0">
    <w:p w:rsidR="00000000" w:rsidRDefault="002C0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3F9" w:rsidRDefault="002C0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3F9" w:rsidRDefault="002C03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3F9" w:rsidRDefault="002C03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507" w:rsidRDefault="009D150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C03F9">
      <w:r>
        <w:separator/>
      </w:r>
    </w:p>
  </w:footnote>
  <w:footnote w:type="continuationSeparator" w:id="0">
    <w:p w:rsidR="00000000" w:rsidRDefault="002C0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3F9" w:rsidRDefault="002C03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3F9" w:rsidRDefault="002C03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3F9" w:rsidRDefault="002C03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useFELayout/>
    <w:compatSetting w:name="compatibilityMode" w:uri="http://schemas.microsoft.com/office/word" w:val="12"/>
  </w:compat>
  <w:rsids>
    <w:rsidRoot w:val="009D1507"/>
    <w:rsid w:val="002C03F9"/>
    <w:rsid w:val="009D1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03F9"/>
    <w:pPr>
      <w:tabs>
        <w:tab w:val="center" w:pos="4680"/>
        <w:tab w:val="right" w:pos="9360"/>
      </w:tabs>
    </w:pPr>
  </w:style>
  <w:style w:type="character" w:customStyle="1" w:styleId="HeaderChar">
    <w:name w:val="Header Char"/>
    <w:basedOn w:val="DefaultParagraphFont"/>
    <w:link w:val="Header"/>
    <w:uiPriority w:val="99"/>
    <w:rsid w:val="002C03F9"/>
    <w:rPr>
      <w:rFonts w:ascii="Calibri" w:eastAsia="Calibri" w:hAnsi="Calibri" w:cs="Calibri"/>
    </w:rPr>
  </w:style>
  <w:style w:type="paragraph" w:styleId="Footer">
    <w:name w:val="footer"/>
    <w:basedOn w:val="Normal"/>
    <w:link w:val="FooterChar"/>
    <w:uiPriority w:val="99"/>
    <w:unhideWhenUsed/>
    <w:rsid w:val="002C03F9"/>
    <w:pPr>
      <w:tabs>
        <w:tab w:val="center" w:pos="4680"/>
        <w:tab w:val="right" w:pos="9360"/>
      </w:tabs>
    </w:pPr>
  </w:style>
  <w:style w:type="character" w:customStyle="1" w:styleId="FooterChar">
    <w:name w:val="Footer Char"/>
    <w:basedOn w:val="DefaultParagraphFont"/>
    <w:link w:val="Footer"/>
    <w:uiPriority w:val="99"/>
    <w:rsid w:val="002C03F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1585</Words>
  <Characters>9040</Characters>
  <Application>Microsoft Office Word</Application>
  <DocSecurity>0</DocSecurity>
  <Lines>75</Lines>
  <Paragraphs>21</Paragraphs>
  <ScaleCrop>false</ScaleCrop>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2020-02-26T14:23:00Z</dcterms:created>
  <dcterms:modified xsi:type="dcterms:W3CDTF">2020-02-26T14:23:00Z</dcterms:modified>
</cp:coreProperties>
</file>