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8F" w:rsidRDefault="0053691D">
      <w:pPr>
        <w:pStyle w:val="BodyText"/>
        <w:spacing w:before="60" w:line="240" w:lineRule="exact"/>
        <w:ind w:left="2869" w:right="2851" w:firstLine="674"/>
      </w:pPr>
      <w:r>
        <w:t>RECORD OF PROCEEDINGS PHYSICAL DISABILITY BOARD OF REVIEW</w:t>
      </w:r>
    </w:p>
    <w:p w:rsidR="00624E8F" w:rsidRDefault="00624E8F">
      <w:pPr>
        <w:pStyle w:val="BodyText"/>
        <w:spacing w:before="8"/>
        <w:rPr>
          <w:sz w:val="19"/>
        </w:rPr>
      </w:pPr>
    </w:p>
    <w:p w:rsidR="00624E8F" w:rsidRDefault="00E038BC">
      <w:pPr>
        <w:pStyle w:val="BodyText"/>
        <w:tabs>
          <w:tab w:val="left" w:pos="6548"/>
          <w:tab w:val="left" w:pos="7338"/>
        </w:tabs>
        <w:spacing w:line="240" w:lineRule="exact"/>
        <w:ind w:left="160" w:right="155"/>
      </w:pPr>
      <w:r>
        <w:t>NAME:  XXXXXXXXXXXXXXXXX</w:t>
      </w:r>
      <w:r w:rsidR="0053691D">
        <w:tab/>
      </w:r>
      <w:r w:rsidR="0053691D">
        <w:tab/>
        <w:t>CASE:</w:t>
      </w:r>
      <w:r w:rsidR="0053691D">
        <w:rPr>
          <w:spacing w:val="48"/>
        </w:rPr>
        <w:t xml:space="preserve"> </w:t>
      </w:r>
      <w:r w:rsidR="0053691D">
        <w:t>PD-2017-05770 BRANCH OF</w:t>
      </w:r>
      <w:r w:rsidR="0053691D">
        <w:rPr>
          <w:spacing w:val="-2"/>
        </w:rPr>
        <w:t xml:space="preserve"> </w:t>
      </w:r>
      <w:r w:rsidR="0053691D">
        <w:t>SERVICE:</w:t>
      </w:r>
      <w:r w:rsidR="0053691D">
        <w:rPr>
          <w:spacing w:val="53"/>
        </w:rPr>
        <w:t xml:space="preserve"> </w:t>
      </w:r>
      <w:r w:rsidR="0053691D">
        <w:t>ARMY</w:t>
      </w:r>
      <w:r w:rsidR="0053691D">
        <w:tab/>
        <w:t>SEPARATION DATE:</w:t>
      </w:r>
      <w:r w:rsidR="0053691D">
        <w:rPr>
          <w:spacing w:val="44"/>
        </w:rPr>
        <w:t xml:space="preserve"> </w:t>
      </w:r>
      <w:r w:rsidR="0053691D">
        <w:t>20051121</w:t>
      </w:r>
    </w:p>
    <w:p w:rsidR="00624E8F" w:rsidRDefault="0053691D">
      <w:pPr>
        <w:pStyle w:val="BodyText"/>
        <w:spacing w:before="2"/>
        <w:rPr>
          <w:sz w:val="18"/>
        </w:rPr>
      </w:pPr>
      <w:r>
        <w:rPr>
          <w:noProof/>
        </w:rPr>
        <mc:AlternateContent>
          <mc:Choice Requires="wps">
            <w:drawing>
              <wp:anchor distT="0" distB="0" distL="0" distR="0" simplePos="0" relativeHeight="251654656" behindDoc="0" locked="0" layoutInCell="1" allowOverlap="1">
                <wp:simplePos x="0" y="0"/>
                <wp:positionH relativeFrom="page">
                  <wp:posOffset>895985</wp:posOffset>
                </wp:positionH>
                <wp:positionV relativeFrom="paragraph">
                  <wp:posOffset>175260</wp:posOffset>
                </wp:positionV>
                <wp:extent cx="5980430" cy="0"/>
                <wp:effectExtent l="10160" t="11430" r="10160" b="17145"/>
                <wp:wrapTopAndBottom/>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2E81A" id="Line 1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8pt" to="541.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mZHgIAAEMEAAAOAAAAZHJzL2Uyb0RvYy54bWysU8GO2jAQvVfqP1i+QxI2S0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" strokeweight="1.44pt">
                <w10:wrap type="topAndBottom" anchorx="page"/>
              </v:line>
            </w:pict>
          </mc:Fallback>
        </mc:AlternateContent>
      </w:r>
    </w:p>
    <w:p w:rsidR="00624E8F" w:rsidRDefault="00624E8F">
      <w:pPr>
        <w:pStyle w:val="BodyText"/>
        <w:rPr>
          <w:sz w:val="10"/>
        </w:rPr>
      </w:pPr>
    </w:p>
    <w:p w:rsidR="00624E8F" w:rsidRDefault="0053691D">
      <w:pPr>
        <w:pStyle w:val="BodyText"/>
        <w:spacing w:before="89" w:line="240" w:lineRule="exact"/>
        <w:ind w:left="159" w:right="155"/>
        <w:jc w:val="both"/>
      </w:pPr>
      <w:r>
        <w:rPr>
          <w:u w:val="single"/>
        </w:rPr>
        <w:t>SUMMARY OF CASE</w:t>
      </w:r>
      <w:r>
        <w:t>: Data extracted from the available evidence of record reflects this covered individual (CI) was an active duty E5, Journalist, medically separated for “traumatic brain injury” with a disability rating of 10%.</w:t>
      </w:r>
    </w:p>
    <w:p w:rsidR="00624E8F" w:rsidRDefault="0053691D">
      <w:pPr>
        <w:pStyle w:val="BodyText"/>
        <w:spacing w:before="2"/>
        <w:rPr>
          <w:sz w:val="18"/>
        </w:rPr>
      </w:pPr>
      <w:r>
        <w:rPr>
          <w:noProof/>
        </w:rPr>
        <mc:AlternateContent>
          <mc:Choice Requires="wps">
            <w:drawing>
              <wp:anchor distT="0" distB="0" distL="0" distR="0" simplePos="0" relativeHeight="251655680" behindDoc="0" locked="0" layoutInCell="1" allowOverlap="1">
                <wp:simplePos x="0" y="0"/>
                <wp:positionH relativeFrom="page">
                  <wp:posOffset>895985</wp:posOffset>
                </wp:positionH>
                <wp:positionV relativeFrom="paragraph">
                  <wp:posOffset>175260</wp:posOffset>
                </wp:positionV>
                <wp:extent cx="5980430" cy="0"/>
                <wp:effectExtent l="10160" t="13970" r="10160" b="14605"/>
                <wp:wrapTopAndBottom/>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9F61A" id="Line 1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8pt" to="541.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" strokeweight="1.44pt">
                <w10:wrap type="topAndBottom" anchorx="page"/>
              </v:line>
            </w:pict>
          </mc:Fallback>
        </mc:AlternateContent>
      </w:r>
    </w:p>
    <w:p w:rsidR="00624E8F" w:rsidRDefault="00624E8F">
      <w:pPr>
        <w:pStyle w:val="BodyText"/>
        <w:rPr>
          <w:sz w:val="10"/>
        </w:rPr>
      </w:pPr>
    </w:p>
    <w:p w:rsidR="00624E8F" w:rsidRDefault="0053691D">
      <w:pPr>
        <w:pStyle w:val="BodyText"/>
        <w:spacing w:before="89" w:line="240" w:lineRule="exact"/>
        <w:ind w:left="160" w:right="155"/>
      </w:pPr>
      <w:r>
        <w:rPr>
          <w:u w:val="single"/>
        </w:rPr>
        <w:t>CI CONTENTION</w:t>
      </w:r>
      <w:r>
        <w:t>: “The initial Review Board did not assign any disability ratings for conditions related to traumatic brain injury…”  The complete submission is at Exhibit A.</w:t>
      </w:r>
    </w:p>
    <w:p w:rsidR="00624E8F" w:rsidRDefault="0053691D">
      <w:pPr>
        <w:pStyle w:val="BodyText"/>
        <w:spacing w:before="2"/>
        <w:rPr>
          <w:sz w:val="18"/>
        </w:rPr>
      </w:pPr>
      <w:r>
        <w:rPr>
          <w:noProof/>
        </w:rPr>
        <mc:AlternateContent>
          <mc:Choice Requires="wps">
            <w:drawing>
              <wp:anchor distT="0" distB="0" distL="0" distR="0" simplePos="0" relativeHeight="251656704" behindDoc="0" locked="0" layoutInCell="1" allowOverlap="1">
                <wp:simplePos x="0" y="0"/>
                <wp:positionH relativeFrom="page">
                  <wp:posOffset>895985</wp:posOffset>
                </wp:positionH>
                <wp:positionV relativeFrom="paragraph">
                  <wp:posOffset>175260</wp:posOffset>
                </wp:positionV>
                <wp:extent cx="5980430" cy="0"/>
                <wp:effectExtent l="10160" t="13970" r="10160" b="14605"/>
                <wp:wrapTopAndBottom/>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A6A1" id="Line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8pt" to="541.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DHHgIAAEMEAAAOAAAAZHJzL2Uyb0RvYy54bWysU8GO2jAQvVfqP1i+QxI2S0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" strokeweight="1.44pt">
                <w10:wrap type="topAndBottom" anchorx="page"/>
              </v:line>
            </w:pict>
          </mc:Fallback>
        </mc:AlternateContent>
      </w:r>
    </w:p>
    <w:p w:rsidR="00624E8F" w:rsidRDefault="00624E8F">
      <w:pPr>
        <w:pStyle w:val="BodyText"/>
        <w:rPr>
          <w:sz w:val="10"/>
        </w:rPr>
      </w:pPr>
    </w:p>
    <w:p w:rsidR="00624E8F" w:rsidRDefault="0053691D">
      <w:pPr>
        <w:pStyle w:val="BodyText"/>
        <w:spacing w:before="89" w:line="240" w:lineRule="exact"/>
        <w:ind w:left="160" w:right="154"/>
        <w:jc w:val="both"/>
      </w:pPr>
      <w:r>
        <w:rPr>
          <w:u w:val="single"/>
        </w:rPr>
        <w:t>SCOPE</w:t>
      </w:r>
      <w:r>
        <w:rPr>
          <w:spacing w:val="-8"/>
          <w:u w:val="single"/>
        </w:rPr>
        <w:t xml:space="preserve"> </w:t>
      </w:r>
      <w:r>
        <w:rPr>
          <w:u w:val="single"/>
        </w:rPr>
        <w:t>OF</w:t>
      </w:r>
      <w:r>
        <w:rPr>
          <w:spacing w:val="-9"/>
          <w:u w:val="single"/>
        </w:rPr>
        <w:t xml:space="preserve"> </w:t>
      </w:r>
      <w:r>
        <w:rPr>
          <w:u w:val="single"/>
        </w:rPr>
        <w:t>REVIEW</w:t>
      </w:r>
      <w:r>
        <w:t>:</w:t>
      </w:r>
      <w:r>
        <w:rPr>
          <w:spacing w:val="34"/>
        </w:rPr>
        <w:t xml:space="preserve"> </w:t>
      </w:r>
      <w:r>
        <w:t>The</w:t>
      </w:r>
      <w:r>
        <w:rPr>
          <w:spacing w:val="-11"/>
        </w:rPr>
        <w:t xml:space="preserve"> </w:t>
      </w:r>
      <w:r>
        <w:t>panel’s</w:t>
      </w:r>
      <w:r>
        <w:rPr>
          <w:spacing w:val="-11"/>
        </w:rPr>
        <w:t xml:space="preserve"> </w:t>
      </w:r>
      <w:r>
        <w:t>scope</w:t>
      </w:r>
      <w:r>
        <w:rPr>
          <w:spacing w:val="-11"/>
        </w:rPr>
        <w:t xml:space="preserve"> </w:t>
      </w:r>
      <w:r>
        <w:t>of</w:t>
      </w:r>
      <w:r>
        <w:rPr>
          <w:spacing w:val="-8"/>
        </w:rPr>
        <w:t xml:space="preserve"> </w:t>
      </w:r>
      <w:r>
        <w:t>review</w:t>
      </w:r>
      <w:r>
        <w:rPr>
          <w:spacing w:val="-10"/>
        </w:rPr>
        <w:t xml:space="preserve"> </w:t>
      </w:r>
      <w:r>
        <w:t>is</w:t>
      </w:r>
      <w:r>
        <w:rPr>
          <w:spacing w:val="-11"/>
        </w:rPr>
        <w:t xml:space="preserve"> </w:t>
      </w:r>
      <w:r>
        <w:t>defined</w:t>
      </w:r>
      <w:r>
        <w:rPr>
          <w:spacing w:val="-10"/>
        </w:rPr>
        <w:t xml:space="preserve"> </w:t>
      </w:r>
      <w:r>
        <w:t>in</w:t>
      </w:r>
      <w:r>
        <w:rPr>
          <w:spacing w:val="-10"/>
        </w:rPr>
        <w:t xml:space="preserve"> </w:t>
      </w:r>
      <w:r>
        <w:t>DoDI</w:t>
      </w:r>
      <w:r>
        <w:rPr>
          <w:spacing w:val="-12"/>
        </w:rPr>
        <w:t xml:space="preserve"> </w:t>
      </w:r>
      <w:r>
        <w:t>6040.44.</w:t>
      </w:r>
      <w:r>
        <w:rPr>
          <w:spacing w:val="35"/>
        </w:rPr>
        <w:t xml:space="preserve"> </w:t>
      </w:r>
      <w:r>
        <w:t>It</w:t>
      </w:r>
      <w:r>
        <w:rPr>
          <w:spacing w:val="-10"/>
        </w:rPr>
        <w:t xml:space="preserve"> </w:t>
      </w:r>
      <w:r>
        <w:t>is</w:t>
      </w:r>
      <w:r>
        <w:rPr>
          <w:spacing w:val="-11"/>
        </w:rPr>
        <w:t xml:space="preserve"> </w:t>
      </w:r>
      <w:r>
        <w:t>limited</w:t>
      </w:r>
      <w:r>
        <w:rPr>
          <w:spacing w:val="-10"/>
        </w:rPr>
        <w:t xml:space="preserve"> </w:t>
      </w:r>
      <w:r>
        <w:t>to</w:t>
      </w:r>
      <w:r>
        <w:rPr>
          <w:spacing w:val="-11"/>
        </w:rPr>
        <w:t xml:space="preserve"> </w:t>
      </w:r>
      <w:r>
        <w:t>review of disability ratings assigned to those conditions determined by the Physical Evaluation Board (PEB) to be unfitting for continued military service, and when specifically requested by the CI, those conditions identified by the Medical Evaluation Board (MEB), but determined by the PEB to be not unfitting or non-compensable. Any conditions outside the panel’s defined scope of review, and any contention not requested in this application, may remain eligible for future consideration by the Board for Correction of Military Records. The panel’s authority is limited to assessing</w:t>
      </w:r>
      <w:r>
        <w:rPr>
          <w:spacing w:val="-7"/>
        </w:rPr>
        <w:t xml:space="preserve"> </w:t>
      </w:r>
      <w:r>
        <w:t>the</w:t>
      </w:r>
      <w:r>
        <w:rPr>
          <w:spacing w:val="-8"/>
        </w:rPr>
        <w:t xml:space="preserve"> </w:t>
      </w:r>
      <w:r>
        <w:t>fairness</w:t>
      </w:r>
      <w:r>
        <w:rPr>
          <w:spacing w:val="-7"/>
        </w:rPr>
        <w:t xml:space="preserve"> </w:t>
      </w:r>
      <w:r>
        <w:t>and</w:t>
      </w:r>
      <w:r>
        <w:rPr>
          <w:spacing w:val="-3"/>
        </w:rPr>
        <w:t xml:space="preserve"> </w:t>
      </w:r>
      <w:r>
        <w:t>accuracy</w:t>
      </w:r>
      <w:r>
        <w:rPr>
          <w:spacing w:val="-7"/>
        </w:rPr>
        <w:t xml:space="preserve"> </w:t>
      </w:r>
      <w:r>
        <w:t>of</w:t>
      </w:r>
      <w:r>
        <w:rPr>
          <w:spacing w:val="-5"/>
        </w:rPr>
        <w:t xml:space="preserve"> </w:t>
      </w:r>
      <w:r>
        <w:t>PEB</w:t>
      </w:r>
      <w:r>
        <w:rPr>
          <w:spacing w:val="-5"/>
        </w:rPr>
        <w:t xml:space="preserve"> </w:t>
      </w:r>
      <w:r>
        <w:t>rating</w:t>
      </w:r>
      <w:r>
        <w:rPr>
          <w:spacing w:val="-9"/>
        </w:rPr>
        <w:t xml:space="preserve"> </w:t>
      </w:r>
      <w:r>
        <w:t>determinations</w:t>
      </w:r>
      <w:r>
        <w:rPr>
          <w:spacing w:val="-4"/>
        </w:rPr>
        <w:t xml:space="preserve"> </w:t>
      </w:r>
      <w:r>
        <w:t>and</w:t>
      </w:r>
      <w:r>
        <w:rPr>
          <w:spacing w:val="-5"/>
        </w:rPr>
        <w:t xml:space="preserve"> </w:t>
      </w:r>
      <w:r>
        <w:t>recommending</w:t>
      </w:r>
      <w:r>
        <w:rPr>
          <w:spacing w:val="-7"/>
        </w:rPr>
        <w:t xml:space="preserve"> </w:t>
      </w:r>
      <w:r>
        <w:t>corrections when appropriate. The panel gives consideration to VA evidence, particularly within 12 months of separation, but only to the extent that it reasonably reflects the severity of disability at the time of</w:t>
      </w:r>
      <w:r>
        <w:rPr>
          <w:spacing w:val="-3"/>
        </w:rPr>
        <w:t xml:space="preserve"> </w:t>
      </w:r>
      <w:r>
        <w:t>separation.</w:t>
      </w:r>
    </w:p>
    <w:p w:rsidR="00624E8F" w:rsidRDefault="0053691D">
      <w:pPr>
        <w:pStyle w:val="BodyText"/>
        <w:rPr>
          <w:sz w:val="18"/>
        </w:rPr>
      </w:pPr>
      <w:r>
        <w:rPr>
          <w:noProof/>
        </w:rPr>
        <mc:AlternateContent>
          <mc:Choice Requires="wps">
            <w:drawing>
              <wp:anchor distT="0" distB="0" distL="0" distR="0" simplePos="0" relativeHeight="251657728" behindDoc="0" locked="0" layoutInCell="1" allowOverlap="1">
                <wp:simplePos x="0" y="0"/>
                <wp:positionH relativeFrom="page">
                  <wp:posOffset>895985</wp:posOffset>
                </wp:positionH>
                <wp:positionV relativeFrom="paragraph">
                  <wp:posOffset>173990</wp:posOffset>
                </wp:positionV>
                <wp:extent cx="5980430" cy="0"/>
                <wp:effectExtent l="10160" t="10795" r="10160" b="17780"/>
                <wp:wrapTopAndBottom/>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8FE24" id="Line 1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7pt" to="541.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" strokeweight="1.44pt">
                <w10:wrap type="topAndBottom" anchorx="page"/>
              </v:line>
            </w:pict>
          </mc:Fallback>
        </mc:AlternateContent>
      </w:r>
    </w:p>
    <w:p w:rsidR="00624E8F" w:rsidRDefault="00624E8F">
      <w:pPr>
        <w:pStyle w:val="BodyText"/>
        <w:rPr>
          <w:sz w:val="10"/>
        </w:rPr>
      </w:pPr>
    </w:p>
    <w:p w:rsidR="00624E8F" w:rsidRDefault="0053691D">
      <w:pPr>
        <w:pStyle w:val="BodyText"/>
        <w:spacing w:before="52"/>
        <w:ind w:left="160"/>
        <w:jc w:val="both"/>
      </w:pPr>
      <w:r>
        <w:rPr>
          <w:u w:val="single"/>
        </w:rPr>
        <w:t>RATING COMPARISON</w:t>
      </w:r>
      <w:r>
        <w:t>:</w:t>
      </w:r>
    </w:p>
    <w:p w:rsidR="00624E8F" w:rsidRDefault="00624E8F">
      <w:pPr>
        <w:pStyle w:val="BodyText"/>
        <w:spacing w:before="3"/>
        <w:rPr>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169"/>
        <w:gridCol w:w="719"/>
        <w:gridCol w:w="2701"/>
        <w:gridCol w:w="1003"/>
        <w:gridCol w:w="720"/>
        <w:gridCol w:w="992"/>
      </w:tblGrid>
      <w:tr w:rsidR="00624E8F">
        <w:trPr>
          <w:trHeight w:hRule="exact" w:val="192"/>
        </w:trPr>
        <w:tc>
          <w:tcPr>
            <w:tcW w:w="3954" w:type="dxa"/>
            <w:gridSpan w:val="3"/>
            <w:tcBorders>
              <w:right w:val="triple" w:sz="24" w:space="0" w:color="000000"/>
            </w:tcBorders>
            <w:shd w:val="clear" w:color="auto" w:fill="DADADA"/>
          </w:tcPr>
          <w:p w:rsidR="00624E8F" w:rsidRDefault="0053691D">
            <w:pPr>
              <w:pStyle w:val="TableParagraph"/>
              <w:spacing w:line="195" w:lineRule="exact"/>
              <w:ind w:left="1118"/>
              <w:jc w:val="left"/>
              <w:rPr>
                <w:b/>
                <w:sz w:val="18"/>
              </w:rPr>
            </w:pPr>
            <w:r>
              <w:rPr>
                <w:b/>
                <w:sz w:val="18"/>
              </w:rPr>
              <w:t>SERVICE PEB 20051003</w:t>
            </w:r>
          </w:p>
        </w:tc>
        <w:tc>
          <w:tcPr>
            <w:tcW w:w="5416" w:type="dxa"/>
            <w:gridSpan w:val="4"/>
            <w:tcBorders>
              <w:left w:val="triple" w:sz="24" w:space="0" w:color="000000"/>
            </w:tcBorders>
            <w:shd w:val="clear" w:color="auto" w:fill="DADADA"/>
          </w:tcPr>
          <w:p w:rsidR="00624E8F" w:rsidRDefault="0053691D">
            <w:pPr>
              <w:pStyle w:val="TableParagraph"/>
              <w:spacing w:line="195" w:lineRule="exact"/>
              <w:ind w:left="2010" w:right="2033"/>
              <w:rPr>
                <w:b/>
                <w:sz w:val="18"/>
              </w:rPr>
            </w:pPr>
            <w:r>
              <w:rPr>
                <w:b/>
                <w:sz w:val="18"/>
              </w:rPr>
              <w:t>VARD - 20060302</w:t>
            </w:r>
          </w:p>
        </w:tc>
      </w:tr>
      <w:tr w:rsidR="00624E8F">
        <w:trPr>
          <w:trHeight w:hRule="exact" w:val="190"/>
        </w:trPr>
        <w:tc>
          <w:tcPr>
            <w:tcW w:w="2066" w:type="dxa"/>
            <w:shd w:val="clear" w:color="auto" w:fill="DADADA"/>
          </w:tcPr>
          <w:p w:rsidR="00624E8F" w:rsidRDefault="0053691D">
            <w:pPr>
              <w:pStyle w:val="TableParagraph"/>
              <w:spacing w:line="192" w:lineRule="exact"/>
              <w:ind w:left="662"/>
              <w:jc w:val="left"/>
              <w:rPr>
                <w:b/>
                <w:sz w:val="18"/>
              </w:rPr>
            </w:pPr>
            <w:r>
              <w:rPr>
                <w:b/>
                <w:sz w:val="18"/>
              </w:rPr>
              <w:t>Condition</w:t>
            </w:r>
          </w:p>
        </w:tc>
        <w:tc>
          <w:tcPr>
            <w:tcW w:w="1169" w:type="dxa"/>
            <w:shd w:val="clear" w:color="auto" w:fill="DADADA"/>
          </w:tcPr>
          <w:p w:rsidR="00624E8F" w:rsidRDefault="0053691D">
            <w:pPr>
              <w:pStyle w:val="TableParagraph"/>
              <w:spacing w:line="192" w:lineRule="exact"/>
              <w:ind w:left="166" w:right="167"/>
              <w:rPr>
                <w:b/>
                <w:sz w:val="18"/>
              </w:rPr>
            </w:pPr>
            <w:r>
              <w:rPr>
                <w:b/>
                <w:sz w:val="18"/>
              </w:rPr>
              <w:t>Code</w:t>
            </w:r>
          </w:p>
        </w:tc>
        <w:tc>
          <w:tcPr>
            <w:tcW w:w="719" w:type="dxa"/>
            <w:tcBorders>
              <w:right w:val="triple" w:sz="24" w:space="0" w:color="000000"/>
            </w:tcBorders>
            <w:shd w:val="clear" w:color="auto" w:fill="DADADA"/>
          </w:tcPr>
          <w:p w:rsidR="00624E8F" w:rsidRDefault="0053691D">
            <w:pPr>
              <w:pStyle w:val="TableParagraph"/>
              <w:spacing w:line="192" w:lineRule="exact"/>
              <w:ind w:left="93" w:right="71"/>
              <w:rPr>
                <w:b/>
                <w:sz w:val="18"/>
              </w:rPr>
            </w:pPr>
            <w:r>
              <w:rPr>
                <w:b/>
                <w:sz w:val="18"/>
              </w:rPr>
              <w:t>Rating</w:t>
            </w:r>
          </w:p>
        </w:tc>
        <w:tc>
          <w:tcPr>
            <w:tcW w:w="2701" w:type="dxa"/>
            <w:tcBorders>
              <w:left w:val="triple" w:sz="24" w:space="0" w:color="000000"/>
            </w:tcBorders>
            <w:shd w:val="clear" w:color="auto" w:fill="DADADA"/>
          </w:tcPr>
          <w:p w:rsidR="00624E8F" w:rsidRDefault="0053691D">
            <w:pPr>
              <w:pStyle w:val="TableParagraph"/>
              <w:spacing w:line="192" w:lineRule="exact"/>
              <w:ind w:left="935" w:right="961"/>
              <w:rPr>
                <w:b/>
                <w:sz w:val="18"/>
              </w:rPr>
            </w:pPr>
            <w:r>
              <w:rPr>
                <w:b/>
                <w:sz w:val="18"/>
              </w:rPr>
              <w:t>Condition</w:t>
            </w:r>
          </w:p>
        </w:tc>
        <w:tc>
          <w:tcPr>
            <w:tcW w:w="1003" w:type="dxa"/>
            <w:shd w:val="clear" w:color="auto" w:fill="DADADA"/>
          </w:tcPr>
          <w:p w:rsidR="00624E8F" w:rsidRDefault="0053691D">
            <w:pPr>
              <w:pStyle w:val="TableParagraph"/>
              <w:spacing w:line="192" w:lineRule="exact"/>
              <w:ind w:left="83" w:right="84"/>
              <w:rPr>
                <w:b/>
                <w:sz w:val="18"/>
              </w:rPr>
            </w:pPr>
            <w:r>
              <w:rPr>
                <w:b/>
                <w:sz w:val="18"/>
              </w:rPr>
              <w:t>Code</w:t>
            </w:r>
          </w:p>
        </w:tc>
        <w:tc>
          <w:tcPr>
            <w:tcW w:w="720" w:type="dxa"/>
            <w:shd w:val="clear" w:color="auto" w:fill="DADADA"/>
          </w:tcPr>
          <w:p w:rsidR="00624E8F" w:rsidRDefault="0053691D">
            <w:pPr>
              <w:pStyle w:val="TableParagraph"/>
              <w:spacing w:line="192" w:lineRule="exact"/>
              <w:ind w:right="96"/>
              <w:rPr>
                <w:b/>
                <w:sz w:val="18"/>
              </w:rPr>
            </w:pPr>
            <w:r>
              <w:rPr>
                <w:b/>
                <w:sz w:val="18"/>
              </w:rPr>
              <w:t>Rating</w:t>
            </w:r>
          </w:p>
        </w:tc>
        <w:tc>
          <w:tcPr>
            <w:tcW w:w="991" w:type="dxa"/>
            <w:shd w:val="clear" w:color="auto" w:fill="DADADA"/>
          </w:tcPr>
          <w:p w:rsidR="00624E8F" w:rsidRDefault="0053691D">
            <w:pPr>
              <w:pStyle w:val="TableParagraph"/>
              <w:spacing w:line="192" w:lineRule="exact"/>
              <w:ind w:left="103" w:right="105"/>
              <w:rPr>
                <w:b/>
                <w:sz w:val="18"/>
              </w:rPr>
            </w:pPr>
            <w:r>
              <w:rPr>
                <w:b/>
                <w:sz w:val="18"/>
              </w:rPr>
              <w:t>Exam</w:t>
            </w:r>
          </w:p>
        </w:tc>
      </w:tr>
      <w:tr w:rsidR="00624E8F">
        <w:trPr>
          <w:trHeight w:hRule="exact" w:val="190"/>
        </w:trPr>
        <w:tc>
          <w:tcPr>
            <w:tcW w:w="2066" w:type="dxa"/>
          </w:tcPr>
          <w:p w:rsidR="00624E8F" w:rsidRDefault="0053691D">
            <w:pPr>
              <w:pStyle w:val="TableParagraph"/>
              <w:spacing w:line="192" w:lineRule="exact"/>
              <w:ind w:left="103"/>
              <w:jc w:val="left"/>
              <w:rPr>
                <w:sz w:val="18"/>
              </w:rPr>
            </w:pPr>
            <w:r>
              <w:rPr>
                <w:sz w:val="18"/>
              </w:rPr>
              <w:t>Traumatic Brain Injury</w:t>
            </w:r>
          </w:p>
        </w:tc>
        <w:tc>
          <w:tcPr>
            <w:tcW w:w="1169" w:type="dxa"/>
          </w:tcPr>
          <w:p w:rsidR="00624E8F" w:rsidRDefault="0053691D">
            <w:pPr>
              <w:pStyle w:val="TableParagraph"/>
              <w:spacing w:line="192" w:lineRule="exact"/>
              <w:ind w:left="167" w:right="167"/>
              <w:rPr>
                <w:sz w:val="18"/>
              </w:rPr>
            </w:pPr>
            <w:r>
              <w:rPr>
                <w:sz w:val="18"/>
              </w:rPr>
              <w:t>8045-9304</w:t>
            </w:r>
          </w:p>
        </w:tc>
        <w:tc>
          <w:tcPr>
            <w:tcW w:w="719" w:type="dxa"/>
            <w:tcBorders>
              <w:right w:val="triple" w:sz="24" w:space="0" w:color="000000"/>
            </w:tcBorders>
          </w:tcPr>
          <w:p w:rsidR="00624E8F" w:rsidRDefault="0053691D">
            <w:pPr>
              <w:pStyle w:val="TableParagraph"/>
              <w:spacing w:line="192" w:lineRule="exact"/>
              <w:ind w:left="93" w:right="68"/>
              <w:rPr>
                <w:sz w:val="18"/>
              </w:rPr>
            </w:pPr>
            <w:r>
              <w:rPr>
                <w:sz w:val="18"/>
              </w:rPr>
              <w:t>10%</w:t>
            </w:r>
          </w:p>
        </w:tc>
        <w:tc>
          <w:tcPr>
            <w:tcW w:w="2701" w:type="dxa"/>
            <w:tcBorders>
              <w:left w:val="triple" w:sz="24" w:space="0" w:color="000000"/>
            </w:tcBorders>
          </w:tcPr>
          <w:p w:rsidR="00624E8F" w:rsidRDefault="0053691D">
            <w:pPr>
              <w:pStyle w:val="TableParagraph"/>
              <w:spacing w:line="192" w:lineRule="exact"/>
              <w:ind w:left="79"/>
              <w:jc w:val="left"/>
              <w:rPr>
                <w:sz w:val="18"/>
              </w:rPr>
            </w:pPr>
            <w:r>
              <w:rPr>
                <w:sz w:val="18"/>
              </w:rPr>
              <w:t>Post Concussion Syndrome</w:t>
            </w:r>
          </w:p>
        </w:tc>
        <w:tc>
          <w:tcPr>
            <w:tcW w:w="1003" w:type="dxa"/>
          </w:tcPr>
          <w:p w:rsidR="00624E8F" w:rsidRDefault="0053691D">
            <w:pPr>
              <w:pStyle w:val="TableParagraph"/>
              <w:spacing w:line="192" w:lineRule="exact"/>
              <w:ind w:left="84" w:right="84"/>
              <w:rPr>
                <w:sz w:val="18"/>
              </w:rPr>
            </w:pPr>
            <w:r>
              <w:rPr>
                <w:sz w:val="18"/>
              </w:rPr>
              <w:t>9304-8045</w:t>
            </w:r>
          </w:p>
        </w:tc>
        <w:tc>
          <w:tcPr>
            <w:tcW w:w="720" w:type="dxa"/>
          </w:tcPr>
          <w:p w:rsidR="00624E8F" w:rsidRDefault="0053691D">
            <w:pPr>
              <w:pStyle w:val="TableParagraph"/>
              <w:spacing w:line="192" w:lineRule="exact"/>
              <w:ind w:right="95"/>
              <w:rPr>
                <w:sz w:val="18"/>
              </w:rPr>
            </w:pPr>
            <w:r>
              <w:rPr>
                <w:sz w:val="18"/>
              </w:rPr>
              <w:t>10%</w:t>
            </w:r>
          </w:p>
        </w:tc>
        <w:tc>
          <w:tcPr>
            <w:tcW w:w="991" w:type="dxa"/>
          </w:tcPr>
          <w:p w:rsidR="00624E8F" w:rsidRDefault="0053691D">
            <w:pPr>
              <w:pStyle w:val="TableParagraph"/>
              <w:spacing w:line="192" w:lineRule="exact"/>
              <w:ind w:left="105" w:right="105"/>
              <w:rPr>
                <w:sz w:val="18"/>
              </w:rPr>
            </w:pPr>
            <w:r>
              <w:rPr>
                <w:sz w:val="18"/>
              </w:rPr>
              <w:t>20060206</w:t>
            </w:r>
          </w:p>
        </w:tc>
      </w:tr>
      <w:tr w:rsidR="00624E8F">
        <w:trPr>
          <w:trHeight w:hRule="exact" w:val="370"/>
        </w:trPr>
        <w:tc>
          <w:tcPr>
            <w:tcW w:w="2066" w:type="dxa"/>
          </w:tcPr>
          <w:p w:rsidR="00624E8F" w:rsidRDefault="0053691D">
            <w:pPr>
              <w:pStyle w:val="TableParagraph"/>
              <w:spacing w:line="180" w:lineRule="exact"/>
              <w:ind w:left="103" w:right="165"/>
              <w:jc w:val="left"/>
              <w:rPr>
                <w:sz w:val="18"/>
              </w:rPr>
            </w:pPr>
            <w:r>
              <w:rPr>
                <w:sz w:val="18"/>
              </w:rPr>
              <w:t>Right Leg Weakness and Coordination Difficulty</w:t>
            </w:r>
          </w:p>
        </w:tc>
        <w:tc>
          <w:tcPr>
            <w:tcW w:w="1888" w:type="dxa"/>
            <w:gridSpan w:val="2"/>
            <w:vMerge w:val="restart"/>
            <w:tcBorders>
              <w:right w:val="triple" w:sz="24" w:space="0" w:color="000000"/>
            </w:tcBorders>
          </w:tcPr>
          <w:p w:rsidR="00624E8F" w:rsidRDefault="00624E8F">
            <w:pPr>
              <w:pStyle w:val="TableParagraph"/>
              <w:ind w:left="0"/>
              <w:jc w:val="left"/>
              <w:rPr>
                <w:sz w:val="18"/>
              </w:rPr>
            </w:pPr>
          </w:p>
          <w:p w:rsidR="00624E8F" w:rsidRDefault="00624E8F">
            <w:pPr>
              <w:pStyle w:val="TableParagraph"/>
              <w:ind w:left="0"/>
              <w:jc w:val="left"/>
              <w:rPr>
                <w:sz w:val="18"/>
              </w:rPr>
            </w:pPr>
          </w:p>
          <w:p w:rsidR="00624E8F" w:rsidRDefault="00624E8F">
            <w:pPr>
              <w:pStyle w:val="TableParagraph"/>
              <w:ind w:left="0"/>
              <w:jc w:val="left"/>
              <w:rPr>
                <w:sz w:val="18"/>
              </w:rPr>
            </w:pPr>
          </w:p>
          <w:p w:rsidR="00624E8F" w:rsidRDefault="0053691D">
            <w:pPr>
              <w:pStyle w:val="TableParagraph"/>
              <w:spacing w:before="139"/>
              <w:ind w:left="458"/>
              <w:jc w:val="left"/>
              <w:rPr>
                <w:sz w:val="18"/>
              </w:rPr>
            </w:pPr>
            <w:r>
              <w:rPr>
                <w:sz w:val="18"/>
              </w:rPr>
              <w:t>Not Unfitting</w:t>
            </w:r>
          </w:p>
        </w:tc>
        <w:tc>
          <w:tcPr>
            <w:tcW w:w="2701" w:type="dxa"/>
            <w:tcBorders>
              <w:left w:val="triple" w:sz="24" w:space="0" w:color="000000"/>
            </w:tcBorders>
          </w:tcPr>
          <w:p w:rsidR="00624E8F" w:rsidRDefault="0053691D">
            <w:pPr>
              <w:pStyle w:val="TableParagraph"/>
              <w:spacing w:line="180" w:lineRule="exact"/>
              <w:ind w:left="79"/>
              <w:jc w:val="left"/>
              <w:rPr>
                <w:sz w:val="18"/>
              </w:rPr>
            </w:pPr>
            <w:r>
              <w:rPr>
                <w:sz w:val="18"/>
              </w:rPr>
              <w:t>Right Lower Extremity Spasticity and Weakness</w:t>
            </w:r>
          </w:p>
        </w:tc>
        <w:tc>
          <w:tcPr>
            <w:tcW w:w="1003" w:type="dxa"/>
          </w:tcPr>
          <w:p w:rsidR="00624E8F" w:rsidRDefault="0053691D">
            <w:pPr>
              <w:pStyle w:val="TableParagraph"/>
              <w:spacing w:before="64"/>
              <w:ind w:left="84" w:right="84"/>
              <w:rPr>
                <w:sz w:val="18"/>
              </w:rPr>
            </w:pPr>
            <w:r>
              <w:rPr>
                <w:sz w:val="18"/>
              </w:rPr>
              <w:t>8599-8521</w:t>
            </w:r>
          </w:p>
        </w:tc>
        <w:tc>
          <w:tcPr>
            <w:tcW w:w="720" w:type="dxa"/>
          </w:tcPr>
          <w:p w:rsidR="00624E8F" w:rsidRDefault="0053691D">
            <w:pPr>
              <w:pStyle w:val="TableParagraph"/>
              <w:spacing w:before="64"/>
              <w:ind w:right="95"/>
              <w:rPr>
                <w:sz w:val="18"/>
              </w:rPr>
            </w:pPr>
            <w:r>
              <w:rPr>
                <w:sz w:val="18"/>
              </w:rPr>
              <w:t>0%</w:t>
            </w:r>
          </w:p>
        </w:tc>
        <w:tc>
          <w:tcPr>
            <w:tcW w:w="991" w:type="dxa"/>
          </w:tcPr>
          <w:p w:rsidR="00624E8F" w:rsidRDefault="0053691D">
            <w:pPr>
              <w:pStyle w:val="TableParagraph"/>
              <w:spacing w:before="64"/>
              <w:ind w:left="104" w:right="105"/>
              <w:rPr>
                <w:sz w:val="18"/>
              </w:rPr>
            </w:pPr>
            <w:r>
              <w:rPr>
                <w:sz w:val="18"/>
              </w:rPr>
              <w:t>20060130</w:t>
            </w:r>
          </w:p>
        </w:tc>
      </w:tr>
      <w:tr w:rsidR="00624E8F">
        <w:trPr>
          <w:trHeight w:hRule="exact" w:val="550"/>
        </w:trPr>
        <w:tc>
          <w:tcPr>
            <w:tcW w:w="2066" w:type="dxa"/>
          </w:tcPr>
          <w:p w:rsidR="00624E8F" w:rsidRDefault="0053691D">
            <w:pPr>
              <w:pStyle w:val="TableParagraph"/>
              <w:spacing w:before="152"/>
              <w:ind w:left="103"/>
              <w:jc w:val="left"/>
              <w:rPr>
                <w:sz w:val="18"/>
              </w:rPr>
            </w:pPr>
            <w:r>
              <w:rPr>
                <w:sz w:val="18"/>
              </w:rPr>
              <w:t>Depression/Adjustment</w:t>
            </w:r>
          </w:p>
        </w:tc>
        <w:tc>
          <w:tcPr>
            <w:tcW w:w="1888" w:type="dxa"/>
            <w:gridSpan w:val="2"/>
            <w:vMerge/>
            <w:tcBorders>
              <w:right w:val="triple" w:sz="24" w:space="0" w:color="000000"/>
            </w:tcBorders>
          </w:tcPr>
          <w:p w:rsidR="00624E8F" w:rsidRDefault="00624E8F"/>
        </w:tc>
        <w:tc>
          <w:tcPr>
            <w:tcW w:w="2701" w:type="dxa"/>
            <w:tcBorders>
              <w:left w:val="triple" w:sz="24" w:space="0" w:color="000000"/>
            </w:tcBorders>
          </w:tcPr>
          <w:p w:rsidR="00624E8F" w:rsidRDefault="0053691D">
            <w:pPr>
              <w:pStyle w:val="TableParagraph"/>
              <w:spacing w:line="180" w:lineRule="exact"/>
              <w:ind w:left="79" w:right="355"/>
              <w:jc w:val="left"/>
              <w:rPr>
                <w:sz w:val="18"/>
              </w:rPr>
            </w:pPr>
            <w:r>
              <w:rPr>
                <w:sz w:val="18"/>
              </w:rPr>
              <w:t>Depression With Adjustment Disorder Associated With Post Concussion Syndrome</w:t>
            </w:r>
          </w:p>
        </w:tc>
        <w:tc>
          <w:tcPr>
            <w:tcW w:w="1003" w:type="dxa"/>
          </w:tcPr>
          <w:p w:rsidR="00624E8F" w:rsidRDefault="0053691D">
            <w:pPr>
              <w:pStyle w:val="TableParagraph"/>
              <w:spacing w:before="152"/>
              <w:ind w:left="84" w:right="84"/>
              <w:rPr>
                <w:sz w:val="18"/>
              </w:rPr>
            </w:pPr>
            <w:r>
              <w:rPr>
                <w:sz w:val="18"/>
              </w:rPr>
              <w:t>9435</w:t>
            </w:r>
          </w:p>
        </w:tc>
        <w:tc>
          <w:tcPr>
            <w:tcW w:w="720" w:type="dxa"/>
          </w:tcPr>
          <w:p w:rsidR="00624E8F" w:rsidRDefault="0053691D">
            <w:pPr>
              <w:pStyle w:val="TableParagraph"/>
              <w:spacing w:before="152"/>
              <w:ind w:right="95"/>
              <w:rPr>
                <w:sz w:val="18"/>
              </w:rPr>
            </w:pPr>
            <w:r>
              <w:rPr>
                <w:sz w:val="18"/>
              </w:rPr>
              <w:t>10%</w:t>
            </w:r>
          </w:p>
        </w:tc>
        <w:tc>
          <w:tcPr>
            <w:tcW w:w="991" w:type="dxa"/>
          </w:tcPr>
          <w:p w:rsidR="00624E8F" w:rsidRDefault="0053691D">
            <w:pPr>
              <w:pStyle w:val="TableParagraph"/>
              <w:spacing w:before="152"/>
              <w:ind w:left="104" w:right="105"/>
              <w:rPr>
                <w:sz w:val="18"/>
              </w:rPr>
            </w:pPr>
            <w:r>
              <w:rPr>
                <w:sz w:val="18"/>
              </w:rPr>
              <w:t>20060206</w:t>
            </w:r>
          </w:p>
        </w:tc>
      </w:tr>
      <w:tr w:rsidR="00624E8F">
        <w:trPr>
          <w:trHeight w:hRule="exact" w:val="550"/>
        </w:trPr>
        <w:tc>
          <w:tcPr>
            <w:tcW w:w="2066" w:type="dxa"/>
          </w:tcPr>
          <w:p w:rsidR="00624E8F" w:rsidRDefault="0053691D">
            <w:pPr>
              <w:pStyle w:val="TableParagraph"/>
              <w:spacing w:before="91" w:line="180" w:lineRule="exact"/>
              <w:ind w:left="103" w:right="308"/>
              <w:jc w:val="left"/>
              <w:rPr>
                <w:sz w:val="18"/>
              </w:rPr>
            </w:pPr>
            <w:r>
              <w:rPr>
                <w:sz w:val="18"/>
              </w:rPr>
              <w:t>Intermittent Low Back Pain</w:t>
            </w:r>
          </w:p>
        </w:tc>
        <w:tc>
          <w:tcPr>
            <w:tcW w:w="1888" w:type="dxa"/>
            <w:gridSpan w:val="2"/>
            <w:vMerge/>
            <w:tcBorders>
              <w:right w:val="triple" w:sz="24" w:space="0" w:color="000000"/>
            </w:tcBorders>
          </w:tcPr>
          <w:p w:rsidR="00624E8F" w:rsidRDefault="00624E8F"/>
        </w:tc>
        <w:tc>
          <w:tcPr>
            <w:tcW w:w="2701" w:type="dxa"/>
            <w:tcBorders>
              <w:left w:val="triple" w:sz="24" w:space="0" w:color="000000"/>
            </w:tcBorders>
          </w:tcPr>
          <w:p w:rsidR="00624E8F" w:rsidRDefault="0053691D">
            <w:pPr>
              <w:pStyle w:val="TableParagraph"/>
              <w:spacing w:line="180" w:lineRule="exact"/>
              <w:ind w:left="79" w:right="510"/>
              <w:jc w:val="left"/>
              <w:rPr>
                <w:sz w:val="18"/>
              </w:rPr>
            </w:pPr>
            <w:r>
              <w:rPr>
                <w:sz w:val="18"/>
              </w:rPr>
              <w:t>Lumbar Disk Disease With Thoracic Spine Compression Deformity</w:t>
            </w:r>
          </w:p>
        </w:tc>
        <w:tc>
          <w:tcPr>
            <w:tcW w:w="1003" w:type="dxa"/>
          </w:tcPr>
          <w:p w:rsidR="00624E8F" w:rsidRDefault="0053691D">
            <w:pPr>
              <w:pStyle w:val="TableParagraph"/>
              <w:spacing w:before="152"/>
              <w:ind w:left="84" w:right="84"/>
              <w:rPr>
                <w:sz w:val="18"/>
              </w:rPr>
            </w:pPr>
            <w:r>
              <w:rPr>
                <w:sz w:val="18"/>
              </w:rPr>
              <w:t>5243</w:t>
            </w:r>
          </w:p>
        </w:tc>
        <w:tc>
          <w:tcPr>
            <w:tcW w:w="720" w:type="dxa"/>
          </w:tcPr>
          <w:p w:rsidR="00624E8F" w:rsidRDefault="0053691D">
            <w:pPr>
              <w:pStyle w:val="TableParagraph"/>
              <w:spacing w:before="152"/>
              <w:ind w:right="95"/>
              <w:rPr>
                <w:sz w:val="18"/>
              </w:rPr>
            </w:pPr>
            <w:r>
              <w:rPr>
                <w:sz w:val="18"/>
              </w:rPr>
              <w:t>10%</w:t>
            </w:r>
          </w:p>
        </w:tc>
        <w:tc>
          <w:tcPr>
            <w:tcW w:w="991" w:type="dxa"/>
            <w:vMerge w:val="restart"/>
          </w:tcPr>
          <w:p w:rsidR="00624E8F" w:rsidRDefault="00624E8F">
            <w:pPr>
              <w:pStyle w:val="TableParagraph"/>
              <w:ind w:left="0"/>
              <w:jc w:val="left"/>
              <w:rPr>
                <w:sz w:val="18"/>
              </w:rPr>
            </w:pPr>
          </w:p>
          <w:p w:rsidR="00624E8F" w:rsidRDefault="0053691D">
            <w:pPr>
              <w:pStyle w:val="TableParagraph"/>
              <w:spacing w:before="117"/>
              <w:ind w:left="124"/>
              <w:jc w:val="left"/>
              <w:rPr>
                <w:sz w:val="18"/>
              </w:rPr>
            </w:pPr>
            <w:r>
              <w:rPr>
                <w:sz w:val="18"/>
              </w:rPr>
              <w:t>20060130</w:t>
            </w:r>
          </w:p>
        </w:tc>
      </w:tr>
      <w:tr w:rsidR="00624E8F">
        <w:trPr>
          <w:trHeight w:hRule="exact" w:val="372"/>
        </w:trPr>
        <w:tc>
          <w:tcPr>
            <w:tcW w:w="2066" w:type="dxa"/>
          </w:tcPr>
          <w:p w:rsidR="00624E8F" w:rsidRDefault="0053691D">
            <w:pPr>
              <w:pStyle w:val="TableParagraph"/>
              <w:spacing w:before="64"/>
              <w:ind w:left="103"/>
              <w:jc w:val="left"/>
              <w:rPr>
                <w:sz w:val="18"/>
              </w:rPr>
            </w:pPr>
            <w:r>
              <w:rPr>
                <w:sz w:val="18"/>
              </w:rPr>
              <w:t>Detrusor Hyperreflexia</w:t>
            </w:r>
          </w:p>
        </w:tc>
        <w:tc>
          <w:tcPr>
            <w:tcW w:w="1888" w:type="dxa"/>
            <w:gridSpan w:val="2"/>
            <w:vMerge/>
            <w:tcBorders>
              <w:right w:val="triple" w:sz="24" w:space="0" w:color="000000"/>
            </w:tcBorders>
          </w:tcPr>
          <w:p w:rsidR="00624E8F" w:rsidRDefault="00624E8F"/>
        </w:tc>
        <w:tc>
          <w:tcPr>
            <w:tcW w:w="2701" w:type="dxa"/>
            <w:tcBorders>
              <w:left w:val="triple" w:sz="24" w:space="0" w:color="000000"/>
            </w:tcBorders>
          </w:tcPr>
          <w:p w:rsidR="00624E8F" w:rsidRDefault="0053691D">
            <w:pPr>
              <w:pStyle w:val="TableParagraph"/>
              <w:spacing w:before="2" w:line="180" w:lineRule="exact"/>
              <w:ind w:left="79" w:right="369"/>
              <w:jc w:val="left"/>
              <w:rPr>
                <w:sz w:val="18"/>
              </w:rPr>
            </w:pPr>
            <w:r>
              <w:rPr>
                <w:sz w:val="18"/>
              </w:rPr>
              <w:t>Hyperactive Bladder/Detrusor Hyperreflexia</w:t>
            </w:r>
          </w:p>
        </w:tc>
        <w:tc>
          <w:tcPr>
            <w:tcW w:w="1003" w:type="dxa"/>
          </w:tcPr>
          <w:p w:rsidR="00624E8F" w:rsidRDefault="0053691D">
            <w:pPr>
              <w:pStyle w:val="TableParagraph"/>
              <w:spacing w:before="64"/>
              <w:ind w:left="84" w:right="84"/>
              <w:rPr>
                <w:sz w:val="18"/>
              </w:rPr>
            </w:pPr>
            <w:r>
              <w:rPr>
                <w:sz w:val="18"/>
              </w:rPr>
              <w:t>7542</w:t>
            </w:r>
          </w:p>
        </w:tc>
        <w:tc>
          <w:tcPr>
            <w:tcW w:w="720" w:type="dxa"/>
          </w:tcPr>
          <w:p w:rsidR="00624E8F" w:rsidRDefault="0053691D">
            <w:pPr>
              <w:pStyle w:val="TableParagraph"/>
              <w:spacing w:before="64"/>
              <w:ind w:right="95"/>
              <w:rPr>
                <w:sz w:val="18"/>
              </w:rPr>
            </w:pPr>
            <w:r>
              <w:rPr>
                <w:sz w:val="18"/>
              </w:rPr>
              <w:t>20%</w:t>
            </w:r>
          </w:p>
        </w:tc>
        <w:tc>
          <w:tcPr>
            <w:tcW w:w="991" w:type="dxa"/>
            <w:vMerge/>
          </w:tcPr>
          <w:p w:rsidR="00624E8F" w:rsidRDefault="00624E8F"/>
        </w:tc>
      </w:tr>
      <w:tr w:rsidR="00624E8F">
        <w:trPr>
          <w:trHeight w:hRule="exact" w:val="190"/>
        </w:trPr>
        <w:tc>
          <w:tcPr>
            <w:tcW w:w="3954" w:type="dxa"/>
            <w:gridSpan w:val="3"/>
            <w:tcBorders>
              <w:right w:val="triple" w:sz="24" w:space="0" w:color="000000"/>
            </w:tcBorders>
            <w:shd w:val="clear" w:color="auto" w:fill="DADADA"/>
          </w:tcPr>
          <w:p w:rsidR="00624E8F" w:rsidRDefault="0053691D">
            <w:pPr>
              <w:pStyle w:val="TableParagraph"/>
              <w:spacing w:line="192" w:lineRule="exact"/>
              <w:ind w:left="1017"/>
              <w:jc w:val="left"/>
              <w:rPr>
                <w:b/>
                <w:sz w:val="18"/>
              </w:rPr>
            </w:pPr>
            <w:r>
              <w:rPr>
                <w:b/>
                <w:sz w:val="18"/>
              </w:rPr>
              <w:t>COMBINED RATING: 10%</w:t>
            </w:r>
          </w:p>
        </w:tc>
        <w:tc>
          <w:tcPr>
            <w:tcW w:w="5416" w:type="dxa"/>
            <w:gridSpan w:val="4"/>
            <w:tcBorders>
              <w:left w:val="triple" w:sz="24" w:space="0" w:color="000000"/>
            </w:tcBorders>
            <w:shd w:val="clear" w:color="auto" w:fill="DADADA"/>
          </w:tcPr>
          <w:p w:rsidR="00624E8F" w:rsidRDefault="0053691D">
            <w:pPr>
              <w:pStyle w:val="TableParagraph"/>
              <w:spacing w:line="192" w:lineRule="exact"/>
              <w:ind w:left="820"/>
              <w:jc w:val="left"/>
              <w:rPr>
                <w:b/>
                <w:sz w:val="18"/>
              </w:rPr>
            </w:pPr>
            <w:r>
              <w:rPr>
                <w:b/>
                <w:sz w:val="18"/>
              </w:rPr>
              <w:t>COMBINED RATING OF ALL VA CONDITIONS: 50%</w:t>
            </w:r>
          </w:p>
        </w:tc>
      </w:tr>
    </w:tbl>
    <w:p w:rsidR="00624E8F" w:rsidRDefault="0053691D">
      <w:pPr>
        <w:pStyle w:val="BodyText"/>
        <w:spacing w:before="3"/>
        <w:rPr>
          <w:sz w:val="13"/>
        </w:rPr>
      </w:pPr>
      <w:r>
        <w:rPr>
          <w:noProof/>
        </w:rPr>
        <mc:AlternateContent>
          <mc:Choice Requires="wps">
            <w:drawing>
              <wp:anchor distT="0" distB="0" distL="0" distR="0" simplePos="0" relativeHeight="251658752" behindDoc="0" locked="0" layoutInCell="1" allowOverlap="1">
                <wp:simplePos x="0" y="0"/>
                <wp:positionH relativeFrom="page">
                  <wp:posOffset>895985</wp:posOffset>
                </wp:positionH>
                <wp:positionV relativeFrom="paragraph">
                  <wp:posOffset>137160</wp:posOffset>
                </wp:positionV>
                <wp:extent cx="5980430" cy="0"/>
                <wp:effectExtent l="10160" t="10795" r="10160" b="17780"/>
                <wp:wrapTopAndBottom/>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FBD37" id="Line 1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0.8pt" to="541.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" strokeweight="1.44pt">
                <w10:wrap type="topAndBottom" anchorx="page"/>
              </v:line>
            </w:pict>
          </mc:Fallback>
        </mc:AlternateContent>
      </w:r>
    </w:p>
    <w:p w:rsidR="00624E8F" w:rsidRDefault="0053691D">
      <w:pPr>
        <w:pStyle w:val="BodyText"/>
        <w:spacing w:before="174"/>
        <w:ind w:left="160"/>
        <w:jc w:val="both"/>
      </w:pPr>
      <w:r>
        <w:rPr>
          <w:u w:val="single"/>
        </w:rPr>
        <w:t>ANALYSIS SUMMARY</w:t>
      </w:r>
      <w:r>
        <w:t>:</w:t>
      </w:r>
    </w:p>
    <w:p w:rsidR="00624E8F" w:rsidRDefault="00624E8F">
      <w:pPr>
        <w:pStyle w:val="BodyText"/>
        <w:spacing w:before="3"/>
        <w:rPr>
          <w:sz w:val="18"/>
        </w:rPr>
      </w:pPr>
    </w:p>
    <w:p w:rsidR="00624E8F" w:rsidRDefault="0053691D">
      <w:pPr>
        <w:pStyle w:val="BodyText"/>
        <w:spacing w:line="240" w:lineRule="exact"/>
        <w:ind w:left="160" w:right="156"/>
        <w:jc w:val="both"/>
      </w:pPr>
      <w:r>
        <w:rPr>
          <w:u w:val="single"/>
        </w:rPr>
        <w:t>Traumatic Brain Injury (TBI)</w:t>
      </w:r>
      <w:r>
        <w:rPr>
          <w:i/>
        </w:rPr>
        <w:t xml:space="preserve">. </w:t>
      </w:r>
      <w:r>
        <w:t>According to the service treatment record (STR) and MEB narrative summary (NARSUM), the CI was involved in a motor vehicle accident in December 2003 and reportedly had significant cognitive deficits that improved over time. He returned to duty in March 2004, and continued outpatient rehabilitation.</w:t>
      </w:r>
    </w:p>
    <w:p w:rsidR="00624E8F" w:rsidRDefault="00624E8F">
      <w:pPr>
        <w:pStyle w:val="BodyText"/>
        <w:spacing w:before="7"/>
        <w:rPr>
          <w:sz w:val="19"/>
        </w:rPr>
      </w:pPr>
    </w:p>
    <w:p w:rsidR="00624E8F" w:rsidRDefault="0053691D">
      <w:pPr>
        <w:pStyle w:val="BodyText"/>
        <w:spacing w:line="240" w:lineRule="exact"/>
        <w:ind w:left="160" w:right="156"/>
        <w:jc w:val="both"/>
      </w:pPr>
      <w:r>
        <w:t>The 29 April 2005 MEB neurology addendum, 7 months before separation, noted complaints of right</w:t>
      </w:r>
      <w:r>
        <w:rPr>
          <w:spacing w:val="-4"/>
        </w:rPr>
        <w:t xml:space="preserve"> </w:t>
      </w:r>
      <w:r>
        <w:t>leg</w:t>
      </w:r>
      <w:r>
        <w:rPr>
          <w:spacing w:val="-5"/>
        </w:rPr>
        <w:t xml:space="preserve"> </w:t>
      </w:r>
      <w:r>
        <w:t>residual</w:t>
      </w:r>
      <w:r>
        <w:rPr>
          <w:spacing w:val="-5"/>
        </w:rPr>
        <w:t xml:space="preserve"> </w:t>
      </w:r>
      <w:r>
        <w:t>weakness,</w:t>
      </w:r>
      <w:r>
        <w:rPr>
          <w:spacing w:val="-2"/>
        </w:rPr>
        <w:t xml:space="preserve"> </w:t>
      </w:r>
      <w:r>
        <w:t>fine</w:t>
      </w:r>
      <w:r>
        <w:rPr>
          <w:spacing w:val="-4"/>
        </w:rPr>
        <w:t xml:space="preserve"> </w:t>
      </w:r>
      <w:r>
        <w:t>motor</w:t>
      </w:r>
      <w:r>
        <w:rPr>
          <w:spacing w:val="-5"/>
        </w:rPr>
        <w:t xml:space="preserve"> </w:t>
      </w:r>
      <w:r>
        <w:t>incoordination</w:t>
      </w:r>
      <w:r>
        <w:rPr>
          <w:spacing w:val="-4"/>
        </w:rPr>
        <w:t xml:space="preserve"> </w:t>
      </w:r>
      <w:r>
        <w:t>in</w:t>
      </w:r>
      <w:r>
        <w:rPr>
          <w:spacing w:val="-6"/>
        </w:rPr>
        <w:t xml:space="preserve"> </w:t>
      </w:r>
      <w:r>
        <w:t>the</w:t>
      </w:r>
      <w:r>
        <w:rPr>
          <w:spacing w:val="-7"/>
        </w:rPr>
        <w:t xml:space="preserve"> </w:t>
      </w:r>
      <w:r>
        <w:t>upper</w:t>
      </w:r>
      <w:r>
        <w:rPr>
          <w:spacing w:val="-5"/>
        </w:rPr>
        <w:t xml:space="preserve"> </w:t>
      </w:r>
      <w:r>
        <w:t>extremity</w:t>
      </w:r>
      <w:r>
        <w:rPr>
          <w:spacing w:val="-3"/>
        </w:rPr>
        <w:t xml:space="preserve"> </w:t>
      </w:r>
      <w:r>
        <w:t>(right</w:t>
      </w:r>
      <w:r>
        <w:rPr>
          <w:spacing w:val="-1"/>
        </w:rPr>
        <w:t xml:space="preserve"> </w:t>
      </w:r>
      <w:r>
        <w:t>greater</w:t>
      </w:r>
      <w:r>
        <w:rPr>
          <w:spacing w:val="-5"/>
        </w:rPr>
        <w:t xml:space="preserve"> </w:t>
      </w:r>
      <w:r>
        <w:t>than</w:t>
      </w:r>
    </w:p>
    <w:p w:rsidR="00624E8F" w:rsidRDefault="00624E8F">
      <w:pPr>
        <w:spacing w:line="240" w:lineRule="exact"/>
        <w:jc w:val="both"/>
        <w:sectPr w:rsidR="00624E8F">
          <w:headerReference w:type="even" r:id="rId6"/>
          <w:headerReference w:type="default" r:id="rId7"/>
          <w:footerReference w:type="even" r:id="rId8"/>
          <w:footerReference w:type="default" r:id="rId9"/>
          <w:headerReference w:type="first" r:id="rId10"/>
          <w:footerReference w:type="first" r:id="rId11"/>
          <w:type w:val="continuous"/>
          <w:pgSz w:w="12240" w:h="15840"/>
          <w:pgMar w:top="1380" w:right="1280" w:bottom="280" w:left="1280" w:header="720" w:footer="720" w:gutter="0"/>
          <w:cols w:space="720"/>
        </w:sectPr>
      </w:pPr>
    </w:p>
    <w:p w:rsidR="00624E8F" w:rsidRDefault="0053691D">
      <w:pPr>
        <w:pStyle w:val="BodyText"/>
        <w:spacing w:before="60" w:line="240" w:lineRule="exact"/>
        <w:ind w:left="159" w:right="152"/>
        <w:jc w:val="both"/>
      </w:pPr>
      <w:r>
        <w:lastRenderedPageBreak/>
        <w:t>left), memory and information processing cognitive deficits, and emotional lability. Neurological examination</w:t>
      </w:r>
      <w:r>
        <w:rPr>
          <w:spacing w:val="-14"/>
        </w:rPr>
        <w:t xml:space="preserve"> </w:t>
      </w:r>
      <w:r>
        <w:t>showed</w:t>
      </w:r>
      <w:r>
        <w:rPr>
          <w:spacing w:val="-14"/>
        </w:rPr>
        <w:t xml:space="preserve"> </w:t>
      </w:r>
      <w:r>
        <w:t>intact</w:t>
      </w:r>
      <w:r>
        <w:rPr>
          <w:spacing w:val="-14"/>
        </w:rPr>
        <w:t xml:space="preserve"> </w:t>
      </w:r>
      <w:r>
        <w:t>language</w:t>
      </w:r>
      <w:r>
        <w:rPr>
          <w:spacing w:val="-15"/>
        </w:rPr>
        <w:t xml:space="preserve"> </w:t>
      </w:r>
      <w:r>
        <w:t>comprehension,</w:t>
      </w:r>
      <w:r>
        <w:rPr>
          <w:spacing w:val="-15"/>
        </w:rPr>
        <w:t xml:space="preserve"> </w:t>
      </w:r>
      <w:r>
        <w:t>repetition</w:t>
      </w:r>
      <w:r>
        <w:rPr>
          <w:spacing w:val="-14"/>
        </w:rPr>
        <w:t xml:space="preserve"> </w:t>
      </w:r>
      <w:r>
        <w:t>and</w:t>
      </w:r>
      <w:r>
        <w:rPr>
          <w:spacing w:val="-17"/>
        </w:rPr>
        <w:t xml:space="preserve"> </w:t>
      </w:r>
      <w:r>
        <w:t>fluency,</w:t>
      </w:r>
      <w:r>
        <w:rPr>
          <w:spacing w:val="-15"/>
        </w:rPr>
        <w:t xml:space="preserve"> </w:t>
      </w:r>
      <w:r>
        <w:t>speech</w:t>
      </w:r>
      <w:r>
        <w:rPr>
          <w:spacing w:val="-14"/>
        </w:rPr>
        <w:t xml:space="preserve"> </w:t>
      </w:r>
      <w:r>
        <w:t>articulation, short and long-term memory, as well as normal execution functioning. Cranial nerves were intact, and upper and lower extremity motor strength was 5/5 throughout. There was some incoordination</w:t>
      </w:r>
      <w:r>
        <w:rPr>
          <w:spacing w:val="-5"/>
        </w:rPr>
        <w:t xml:space="preserve"> </w:t>
      </w:r>
      <w:r>
        <w:t>of</w:t>
      </w:r>
      <w:r>
        <w:rPr>
          <w:spacing w:val="-5"/>
        </w:rPr>
        <w:t xml:space="preserve"> </w:t>
      </w:r>
      <w:r>
        <w:t>the</w:t>
      </w:r>
      <w:r>
        <w:rPr>
          <w:spacing w:val="-6"/>
        </w:rPr>
        <w:t xml:space="preserve"> </w:t>
      </w:r>
      <w:r>
        <w:t>right</w:t>
      </w:r>
      <w:r>
        <w:rPr>
          <w:spacing w:val="-5"/>
        </w:rPr>
        <w:t xml:space="preserve"> </w:t>
      </w:r>
      <w:r>
        <w:t>upper</w:t>
      </w:r>
      <w:r>
        <w:rPr>
          <w:spacing w:val="-4"/>
        </w:rPr>
        <w:t xml:space="preserve"> </w:t>
      </w:r>
      <w:r>
        <w:t>extremity</w:t>
      </w:r>
      <w:r>
        <w:rPr>
          <w:spacing w:val="-7"/>
        </w:rPr>
        <w:t xml:space="preserve"> </w:t>
      </w:r>
      <w:r>
        <w:t>during</w:t>
      </w:r>
      <w:r>
        <w:rPr>
          <w:spacing w:val="-4"/>
        </w:rPr>
        <w:t xml:space="preserve"> </w:t>
      </w:r>
      <w:r>
        <w:t>rapid</w:t>
      </w:r>
      <w:r>
        <w:rPr>
          <w:spacing w:val="-3"/>
        </w:rPr>
        <w:t xml:space="preserve"> </w:t>
      </w:r>
      <w:r>
        <w:t>alternating</w:t>
      </w:r>
      <w:r>
        <w:rPr>
          <w:spacing w:val="-4"/>
        </w:rPr>
        <w:t xml:space="preserve"> </w:t>
      </w:r>
      <w:r>
        <w:t>movement</w:t>
      </w:r>
      <w:r>
        <w:rPr>
          <w:spacing w:val="-5"/>
        </w:rPr>
        <w:t xml:space="preserve"> </w:t>
      </w:r>
      <w:r>
        <w:t>testing,</w:t>
      </w:r>
      <w:r>
        <w:rPr>
          <w:spacing w:val="-4"/>
        </w:rPr>
        <w:t xml:space="preserve"> </w:t>
      </w:r>
      <w:r>
        <w:t>and</w:t>
      </w:r>
      <w:r>
        <w:rPr>
          <w:spacing w:val="-3"/>
        </w:rPr>
        <w:t xml:space="preserve"> </w:t>
      </w:r>
      <w:r>
        <w:t>mild proximal right lower extremity power deficits, but no muscle atrophy. Gait, station and posture were normal as were reflexes. At the 24 May 2005 MEB neuropsychological addendum examination, the CI reported difficulty with concentration. The provider noted that an initial assessment</w:t>
      </w:r>
      <w:r>
        <w:rPr>
          <w:spacing w:val="-12"/>
        </w:rPr>
        <w:t xml:space="preserve"> </w:t>
      </w:r>
      <w:r>
        <w:t>in</w:t>
      </w:r>
      <w:r>
        <w:rPr>
          <w:spacing w:val="-12"/>
        </w:rPr>
        <w:t xml:space="preserve"> </w:t>
      </w:r>
      <w:r>
        <w:t>April</w:t>
      </w:r>
      <w:r>
        <w:rPr>
          <w:spacing w:val="-14"/>
        </w:rPr>
        <w:t xml:space="preserve"> </w:t>
      </w:r>
      <w:r>
        <w:t>2004</w:t>
      </w:r>
      <w:r>
        <w:rPr>
          <w:spacing w:val="-13"/>
        </w:rPr>
        <w:t xml:space="preserve"> </w:t>
      </w:r>
      <w:r>
        <w:t>revealed</w:t>
      </w:r>
      <w:r>
        <w:rPr>
          <w:spacing w:val="-12"/>
        </w:rPr>
        <w:t xml:space="preserve"> </w:t>
      </w:r>
      <w:r>
        <w:t>no</w:t>
      </w:r>
      <w:r>
        <w:rPr>
          <w:spacing w:val="-13"/>
        </w:rPr>
        <w:t xml:space="preserve"> </w:t>
      </w:r>
      <w:r>
        <w:t>cognitive</w:t>
      </w:r>
      <w:r>
        <w:rPr>
          <w:spacing w:val="-11"/>
        </w:rPr>
        <w:t xml:space="preserve"> </w:t>
      </w:r>
      <w:r>
        <w:t>sequelae,</w:t>
      </w:r>
      <w:r>
        <w:rPr>
          <w:spacing w:val="-11"/>
        </w:rPr>
        <w:t xml:space="preserve"> </w:t>
      </w:r>
      <w:r>
        <w:t>and</w:t>
      </w:r>
      <w:r>
        <w:rPr>
          <w:spacing w:val="-12"/>
        </w:rPr>
        <w:t xml:space="preserve"> </w:t>
      </w:r>
      <w:r>
        <w:t>that</w:t>
      </w:r>
      <w:r>
        <w:rPr>
          <w:spacing w:val="-12"/>
        </w:rPr>
        <w:t xml:space="preserve"> </w:t>
      </w:r>
      <w:r>
        <w:t>the</w:t>
      </w:r>
      <w:r>
        <w:rPr>
          <w:spacing w:val="-13"/>
        </w:rPr>
        <w:t xml:space="preserve"> </w:t>
      </w:r>
      <w:r>
        <w:t>current</w:t>
      </w:r>
      <w:r>
        <w:rPr>
          <w:spacing w:val="-12"/>
        </w:rPr>
        <w:t xml:space="preserve"> </w:t>
      </w:r>
      <w:r>
        <w:t>evaluation</w:t>
      </w:r>
      <w:r>
        <w:rPr>
          <w:spacing w:val="-10"/>
        </w:rPr>
        <w:t xml:space="preserve"> </w:t>
      </w:r>
      <w:r>
        <w:t>showed essentially full recovery from the brain trauma. Left upper extremity motor slowing was present only during one task (improvement from previous tests), and all cognitive functions were within normal</w:t>
      </w:r>
      <w:r>
        <w:rPr>
          <w:spacing w:val="-1"/>
        </w:rPr>
        <w:t xml:space="preserve"> </w:t>
      </w:r>
      <w:r>
        <w:t>limits.</w:t>
      </w:r>
    </w:p>
    <w:p w:rsidR="00624E8F" w:rsidRDefault="00624E8F">
      <w:pPr>
        <w:pStyle w:val="BodyText"/>
        <w:spacing w:before="8"/>
        <w:rPr>
          <w:sz w:val="19"/>
        </w:rPr>
      </w:pPr>
    </w:p>
    <w:p w:rsidR="00624E8F" w:rsidRDefault="0053691D">
      <w:pPr>
        <w:pStyle w:val="BodyText"/>
        <w:spacing w:line="240" w:lineRule="exact"/>
        <w:ind w:left="159" w:right="155"/>
        <w:jc w:val="both"/>
      </w:pPr>
      <w:r>
        <w:t>The 15 September 2005 MEB NARSUM examination, 2 months before separation, noted complaints of right leg weakness and decreased coordination. The CI stated that cognitive deficits</w:t>
      </w:r>
      <w:r>
        <w:rPr>
          <w:spacing w:val="-12"/>
        </w:rPr>
        <w:t xml:space="preserve"> </w:t>
      </w:r>
      <w:r>
        <w:t>and</w:t>
      </w:r>
      <w:r>
        <w:rPr>
          <w:spacing w:val="-11"/>
        </w:rPr>
        <w:t xml:space="preserve"> </w:t>
      </w:r>
      <w:r>
        <w:t>problems</w:t>
      </w:r>
      <w:r>
        <w:rPr>
          <w:spacing w:val="-10"/>
        </w:rPr>
        <w:t xml:space="preserve"> </w:t>
      </w:r>
      <w:r>
        <w:t>with</w:t>
      </w:r>
      <w:r>
        <w:rPr>
          <w:spacing w:val="-9"/>
        </w:rPr>
        <w:t xml:space="preserve"> </w:t>
      </w:r>
      <w:r>
        <w:t>focusing</w:t>
      </w:r>
      <w:r>
        <w:rPr>
          <w:spacing w:val="-10"/>
        </w:rPr>
        <w:t xml:space="preserve"> </w:t>
      </w:r>
      <w:r>
        <w:t>affected</w:t>
      </w:r>
      <w:r>
        <w:rPr>
          <w:spacing w:val="-9"/>
        </w:rPr>
        <w:t xml:space="preserve"> </w:t>
      </w:r>
      <w:r>
        <w:t>performance</w:t>
      </w:r>
      <w:r>
        <w:rPr>
          <w:spacing w:val="-9"/>
        </w:rPr>
        <w:t xml:space="preserve"> </w:t>
      </w:r>
      <w:r>
        <w:t>of</w:t>
      </w:r>
      <w:r>
        <w:rPr>
          <w:spacing w:val="-11"/>
        </w:rPr>
        <w:t xml:space="preserve"> </w:t>
      </w:r>
      <w:r>
        <w:t>his</w:t>
      </w:r>
      <w:r>
        <w:rPr>
          <w:spacing w:val="-10"/>
        </w:rPr>
        <w:t xml:space="preserve"> </w:t>
      </w:r>
      <w:r>
        <w:t>military</w:t>
      </w:r>
      <w:r>
        <w:rPr>
          <w:spacing w:val="-10"/>
        </w:rPr>
        <w:t xml:space="preserve"> </w:t>
      </w:r>
      <w:r>
        <w:t>specialty</w:t>
      </w:r>
      <w:r>
        <w:rPr>
          <w:spacing w:val="-10"/>
        </w:rPr>
        <w:t xml:space="preserve"> </w:t>
      </w:r>
      <w:r>
        <w:t>duties</w:t>
      </w:r>
      <w:r>
        <w:rPr>
          <w:spacing w:val="-12"/>
        </w:rPr>
        <w:t xml:space="preserve"> </w:t>
      </w:r>
      <w:r>
        <w:t>because he</w:t>
      </w:r>
      <w:r>
        <w:rPr>
          <w:spacing w:val="-11"/>
        </w:rPr>
        <w:t xml:space="preserve"> </w:t>
      </w:r>
      <w:r>
        <w:t>was</w:t>
      </w:r>
      <w:r>
        <w:rPr>
          <w:spacing w:val="-14"/>
        </w:rPr>
        <w:t xml:space="preserve"> </w:t>
      </w:r>
      <w:r>
        <w:t>unable</w:t>
      </w:r>
      <w:r>
        <w:rPr>
          <w:spacing w:val="-13"/>
        </w:rPr>
        <w:t xml:space="preserve"> </w:t>
      </w:r>
      <w:r>
        <w:t>to</w:t>
      </w:r>
      <w:r>
        <w:rPr>
          <w:spacing w:val="-13"/>
        </w:rPr>
        <w:t xml:space="preserve"> </w:t>
      </w:r>
      <w:r>
        <w:t>write</w:t>
      </w:r>
      <w:r>
        <w:rPr>
          <w:spacing w:val="-13"/>
        </w:rPr>
        <w:t xml:space="preserve"> </w:t>
      </w:r>
      <w:r>
        <w:t>articles.</w:t>
      </w:r>
      <w:r>
        <w:rPr>
          <w:spacing w:val="30"/>
        </w:rPr>
        <w:t xml:space="preserve"> </w:t>
      </w:r>
      <w:r>
        <w:t>Physical</w:t>
      </w:r>
      <w:r>
        <w:rPr>
          <w:spacing w:val="-11"/>
        </w:rPr>
        <w:t xml:space="preserve"> </w:t>
      </w:r>
      <w:r>
        <w:t>examination</w:t>
      </w:r>
      <w:r>
        <w:rPr>
          <w:spacing w:val="-10"/>
        </w:rPr>
        <w:t xml:space="preserve"> </w:t>
      </w:r>
      <w:r>
        <w:t>was</w:t>
      </w:r>
      <w:r>
        <w:rPr>
          <w:spacing w:val="-11"/>
        </w:rPr>
        <w:t xml:space="preserve"> </w:t>
      </w:r>
      <w:r>
        <w:t>conducted</w:t>
      </w:r>
      <w:r>
        <w:rPr>
          <w:spacing w:val="-12"/>
        </w:rPr>
        <w:t xml:space="preserve"> </w:t>
      </w:r>
      <w:r>
        <w:t>8</w:t>
      </w:r>
      <w:r>
        <w:rPr>
          <w:spacing w:val="-13"/>
        </w:rPr>
        <w:t xml:space="preserve"> </w:t>
      </w:r>
      <w:r>
        <w:t>months</w:t>
      </w:r>
      <w:r>
        <w:rPr>
          <w:spacing w:val="-14"/>
        </w:rPr>
        <w:t xml:space="preserve"> </w:t>
      </w:r>
      <w:r>
        <w:t>before</w:t>
      </w:r>
      <w:r>
        <w:rPr>
          <w:spacing w:val="-13"/>
        </w:rPr>
        <w:t xml:space="preserve"> </w:t>
      </w:r>
      <w:r>
        <w:t>separation by</w:t>
      </w:r>
      <w:r>
        <w:rPr>
          <w:spacing w:val="-8"/>
        </w:rPr>
        <w:t xml:space="preserve"> </w:t>
      </w:r>
      <w:r>
        <w:t>a</w:t>
      </w:r>
      <w:r>
        <w:rPr>
          <w:spacing w:val="-7"/>
        </w:rPr>
        <w:t xml:space="preserve"> </w:t>
      </w:r>
      <w:r>
        <w:t>different</w:t>
      </w:r>
      <w:r>
        <w:rPr>
          <w:spacing w:val="-9"/>
        </w:rPr>
        <w:t xml:space="preserve"> </w:t>
      </w:r>
      <w:r>
        <w:t>examiner.</w:t>
      </w:r>
      <w:r>
        <w:rPr>
          <w:spacing w:val="36"/>
        </w:rPr>
        <w:t xml:space="preserve"> </w:t>
      </w:r>
      <w:r>
        <w:t>The</w:t>
      </w:r>
      <w:r>
        <w:rPr>
          <w:spacing w:val="-7"/>
        </w:rPr>
        <w:t xml:space="preserve"> </w:t>
      </w:r>
      <w:r>
        <w:t>30</w:t>
      </w:r>
      <w:r>
        <w:rPr>
          <w:spacing w:val="-7"/>
        </w:rPr>
        <w:t xml:space="preserve"> </w:t>
      </w:r>
      <w:r>
        <w:t>January</w:t>
      </w:r>
      <w:r>
        <w:rPr>
          <w:spacing w:val="-8"/>
        </w:rPr>
        <w:t xml:space="preserve"> </w:t>
      </w:r>
      <w:r>
        <w:t>2006</w:t>
      </w:r>
      <w:r>
        <w:rPr>
          <w:spacing w:val="-7"/>
        </w:rPr>
        <w:t xml:space="preserve"> </w:t>
      </w:r>
      <w:r>
        <w:t>VA</w:t>
      </w:r>
      <w:r>
        <w:rPr>
          <w:spacing w:val="-10"/>
        </w:rPr>
        <w:t xml:space="preserve"> </w:t>
      </w:r>
      <w:r>
        <w:t>Compensation</w:t>
      </w:r>
      <w:r>
        <w:rPr>
          <w:spacing w:val="-9"/>
        </w:rPr>
        <w:t xml:space="preserve"> </w:t>
      </w:r>
      <w:r>
        <w:t>and</w:t>
      </w:r>
      <w:r>
        <w:rPr>
          <w:spacing w:val="-9"/>
        </w:rPr>
        <w:t xml:space="preserve"> </w:t>
      </w:r>
      <w:r>
        <w:t>Pension</w:t>
      </w:r>
      <w:r>
        <w:rPr>
          <w:spacing w:val="-7"/>
        </w:rPr>
        <w:t xml:space="preserve"> </w:t>
      </w:r>
      <w:r>
        <w:t>(C&amp;P)</w:t>
      </w:r>
      <w:r>
        <w:rPr>
          <w:spacing w:val="-9"/>
        </w:rPr>
        <w:t xml:space="preserve"> </w:t>
      </w:r>
      <w:r>
        <w:t>examination,</w:t>
      </w:r>
    </w:p>
    <w:p w:rsidR="00624E8F" w:rsidRDefault="0053691D">
      <w:pPr>
        <w:pStyle w:val="BodyText"/>
        <w:spacing w:line="240" w:lineRule="exact"/>
        <w:ind w:left="159" w:right="156"/>
        <w:jc w:val="both"/>
      </w:pPr>
      <w:r>
        <w:t>2 months after separation, noted report of periods of emotional lability with cognitive impairment, and intermittent frontal headache (non-prostrating in nature).</w:t>
      </w:r>
    </w:p>
    <w:p w:rsidR="00624E8F" w:rsidRDefault="00624E8F">
      <w:pPr>
        <w:pStyle w:val="BodyText"/>
        <w:spacing w:before="8"/>
        <w:rPr>
          <w:sz w:val="19"/>
        </w:rPr>
      </w:pPr>
    </w:p>
    <w:p w:rsidR="00624E8F" w:rsidRDefault="0053691D">
      <w:pPr>
        <w:pStyle w:val="BodyText"/>
        <w:spacing w:line="240" w:lineRule="exact"/>
        <w:ind w:left="159" w:right="153"/>
        <w:jc w:val="both"/>
      </w:pPr>
      <w:r>
        <w:t>The panel directed attention to its rating recommendation based on the above evidence. The PEB rated the TBI 10%, coded 8045-9304 (residuals of TBI-d</w:t>
      </w:r>
      <w:r>
        <w:rPr>
          <w:sz w:val="23"/>
        </w:rPr>
        <w:t>ementia due to head trauma</w:t>
      </w:r>
      <w:r>
        <w:t>). The VA rated</w:t>
      </w:r>
      <w:r>
        <w:rPr>
          <w:spacing w:val="-16"/>
        </w:rPr>
        <w:t xml:space="preserve"> </w:t>
      </w:r>
      <w:r>
        <w:t>post-concussion</w:t>
      </w:r>
      <w:r>
        <w:rPr>
          <w:spacing w:val="-11"/>
        </w:rPr>
        <w:t xml:space="preserve"> </w:t>
      </w:r>
      <w:r>
        <w:t>syndrome</w:t>
      </w:r>
      <w:r>
        <w:rPr>
          <w:spacing w:val="-14"/>
        </w:rPr>
        <w:t xml:space="preserve"> </w:t>
      </w:r>
      <w:r>
        <w:t>10%,</w:t>
      </w:r>
      <w:r>
        <w:rPr>
          <w:spacing w:val="-12"/>
        </w:rPr>
        <w:t xml:space="preserve"> </w:t>
      </w:r>
      <w:r>
        <w:t>coded</w:t>
      </w:r>
      <w:r>
        <w:rPr>
          <w:spacing w:val="-13"/>
        </w:rPr>
        <w:t xml:space="preserve"> </w:t>
      </w:r>
      <w:r>
        <w:t>9304-8045,</w:t>
      </w:r>
      <w:r>
        <w:rPr>
          <w:spacing w:val="-14"/>
        </w:rPr>
        <w:t xml:space="preserve"> </w:t>
      </w:r>
      <w:r>
        <w:t>based</w:t>
      </w:r>
      <w:r>
        <w:rPr>
          <w:spacing w:val="-13"/>
        </w:rPr>
        <w:t xml:space="preserve"> </w:t>
      </w:r>
      <w:r>
        <w:t>on</w:t>
      </w:r>
      <w:r>
        <w:rPr>
          <w:spacing w:val="-13"/>
        </w:rPr>
        <w:t xml:space="preserve"> </w:t>
      </w:r>
      <w:r>
        <w:t>the</w:t>
      </w:r>
      <w:r>
        <w:rPr>
          <w:spacing w:val="-14"/>
        </w:rPr>
        <w:t xml:space="preserve"> </w:t>
      </w:r>
      <w:r>
        <w:t>STR</w:t>
      </w:r>
      <w:r>
        <w:rPr>
          <w:spacing w:val="-15"/>
        </w:rPr>
        <w:t xml:space="preserve"> </w:t>
      </w:r>
      <w:r>
        <w:t>and</w:t>
      </w:r>
      <w:r>
        <w:rPr>
          <w:spacing w:val="-11"/>
        </w:rPr>
        <w:t xml:space="preserve"> </w:t>
      </w:r>
      <w:r>
        <w:t>C&amp;P</w:t>
      </w:r>
      <w:r>
        <w:rPr>
          <w:spacing w:val="-14"/>
        </w:rPr>
        <w:t xml:space="preserve"> </w:t>
      </w:r>
      <w:r>
        <w:t>examination, citing “purely subjective complaints such as headache, dizziness, insomnia, etc., recognized as symptomatic of brain trauma.” The VARSD in effect at the time of separation captured brain injuries under the generic category of brain disease due to trauma (coded 8045), with two different scenarios for rating under this code: analogously with purely neurological deficits, or based on purely subjective symptoms. In the absence of associated neurological disabilities (seizures, nerve paralysis, etc.), rating of this condition under 8045-9304 is limited to 10%, and cannot be combined with any other rating for a disability due to brain trauma. Therefore, a higher</w:t>
      </w:r>
      <w:r>
        <w:rPr>
          <w:spacing w:val="-8"/>
        </w:rPr>
        <w:t xml:space="preserve"> </w:t>
      </w:r>
      <w:r>
        <w:t>rating</w:t>
      </w:r>
      <w:r>
        <w:rPr>
          <w:spacing w:val="-7"/>
        </w:rPr>
        <w:t xml:space="preserve"> </w:t>
      </w:r>
      <w:r>
        <w:t>is</w:t>
      </w:r>
      <w:r>
        <w:rPr>
          <w:spacing w:val="-9"/>
        </w:rPr>
        <w:t xml:space="preserve"> </w:t>
      </w:r>
      <w:r>
        <w:t>not</w:t>
      </w:r>
      <w:r>
        <w:rPr>
          <w:spacing w:val="-8"/>
        </w:rPr>
        <w:t xml:space="preserve"> </w:t>
      </w:r>
      <w:r>
        <w:t>possible</w:t>
      </w:r>
      <w:r>
        <w:rPr>
          <w:spacing w:val="-6"/>
        </w:rPr>
        <w:t xml:space="preserve"> </w:t>
      </w:r>
      <w:r>
        <w:t>under</w:t>
      </w:r>
      <w:r>
        <w:rPr>
          <w:spacing w:val="-8"/>
        </w:rPr>
        <w:t xml:space="preserve"> </w:t>
      </w:r>
      <w:r>
        <w:t>this</w:t>
      </w:r>
      <w:r>
        <w:rPr>
          <w:spacing w:val="-7"/>
        </w:rPr>
        <w:t xml:space="preserve"> </w:t>
      </w:r>
      <w:r>
        <w:t>code.</w:t>
      </w:r>
      <w:r>
        <w:rPr>
          <w:spacing w:val="42"/>
        </w:rPr>
        <w:t xml:space="preserve"> </w:t>
      </w:r>
      <w:r>
        <w:t>After</w:t>
      </w:r>
      <w:r>
        <w:rPr>
          <w:spacing w:val="-6"/>
        </w:rPr>
        <w:t xml:space="preserve"> </w:t>
      </w:r>
      <w:r>
        <w:t>due</w:t>
      </w:r>
      <w:r>
        <w:rPr>
          <w:spacing w:val="-6"/>
        </w:rPr>
        <w:t xml:space="preserve"> </w:t>
      </w:r>
      <w:r>
        <w:t>deliberation,</w:t>
      </w:r>
      <w:r>
        <w:rPr>
          <w:spacing w:val="-6"/>
        </w:rPr>
        <w:t xml:space="preserve"> </w:t>
      </w:r>
      <w:r>
        <w:t>considering</w:t>
      </w:r>
      <w:r>
        <w:rPr>
          <w:spacing w:val="-9"/>
        </w:rPr>
        <w:t xml:space="preserve"> </w:t>
      </w:r>
      <w:r>
        <w:t>all</w:t>
      </w:r>
      <w:r>
        <w:rPr>
          <w:spacing w:val="-6"/>
        </w:rPr>
        <w:t xml:space="preserve"> </w:t>
      </w:r>
      <w:r>
        <w:t>the</w:t>
      </w:r>
      <w:r>
        <w:rPr>
          <w:spacing w:val="-8"/>
        </w:rPr>
        <w:t xml:space="preserve"> </w:t>
      </w:r>
      <w:r>
        <w:t>evidence and</w:t>
      </w:r>
      <w:r>
        <w:rPr>
          <w:spacing w:val="-5"/>
        </w:rPr>
        <w:t xml:space="preserve"> </w:t>
      </w:r>
      <w:r>
        <w:t>mindful</w:t>
      </w:r>
      <w:r>
        <w:rPr>
          <w:spacing w:val="-6"/>
        </w:rPr>
        <w:t xml:space="preserve"> </w:t>
      </w:r>
      <w:r>
        <w:t>of</w:t>
      </w:r>
      <w:r>
        <w:rPr>
          <w:spacing w:val="-5"/>
        </w:rPr>
        <w:t xml:space="preserve"> </w:t>
      </w:r>
      <w:r>
        <w:t>VASRD</w:t>
      </w:r>
      <w:r>
        <w:rPr>
          <w:spacing w:val="-8"/>
        </w:rPr>
        <w:t xml:space="preserve"> </w:t>
      </w:r>
      <w:r>
        <w:t>§4.3</w:t>
      </w:r>
      <w:r>
        <w:rPr>
          <w:spacing w:val="-6"/>
        </w:rPr>
        <w:t xml:space="preserve"> </w:t>
      </w:r>
      <w:r>
        <w:t>(reasonable</w:t>
      </w:r>
      <w:r>
        <w:rPr>
          <w:spacing w:val="-6"/>
        </w:rPr>
        <w:t xml:space="preserve"> </w:t>
      </w:r>
      <w:r>
        <w:t>doubt),</w:t>
      </w:r>
      <w:r>
        <w:rPr>
          <w:spacing w:val="-6"/>
        </w:rPr>
        <w:t xml:space="preserve"> </w:t>
      </w:r>
      <w:r>
        <w:t>the</w:t>
      </w:r>
      <w:r>
        <w:rPr>
          <w:spacing w:val="-6"/>
        </w:rPr>
        <w:t xml:space="preserve"> </w:t>
      </w:r>
      <w:r>
        <w:t>panel</w:t>
      </w:r>
      <w:r>
        <w:rPr>
          <w:spacing w:val="-6"/>
        </w:rPr>
        <w:t xml:space="preserve"> </w:t>
      </w:r>
      <w:r>
        <w:t>concluded</w:t>
      </w:r>
      <w:r>
        <w:rPr>
          <w:spacing w:val="-8"/>
        </w:rPr>
        <w:t xml:space="preserve"> </w:t>
      </w:r>
      <w:r>
        <w:t>there</w:t>
      </w:r>
      <w:r>
        <w:rPr>
          <w:spacing w:val="-8"/>
        </w:rPr>
        <w:t xml:space="preserve"> </w:t>
      </w:r>
      <w:r>
        <w:t>was</w:t>
      </w:r>
      <w:r>
        <w:rPr>
          <w:spacing w:val="-7"/>
        </w:rPr>
        <w:t xml:space="preserve"> </w:t>
      </w:r>
      <w:r>
        <w:t>insufficient</w:t>
      </w:r>
      <w:r>
        <w:rPr>
          <w:spacing w:val="-5"/>
        </w:rPr>
        <w:t xml:space="preserve"> </w:t>
      </w:r>
      <w:r>
        <w:t>cause to recommend a change in the PEB adjudication for the</w:t>
      </w:r>
      <w:r>
        <w:rPr>
          <w:spacing w:val="-18"/>
        </w:rPr>
        <w:t xml:space="preserve"> </w:t>
      </w:r>
      <w:r>
        <w:t>TBI.</w:t>
      </w:r>
    </w:p>
    <w:p w:rsidR="00624E8F" w:rsidRDefault="00624E8F">
      <w:pPr>
        <w:pStyle w:val="BodyText"/>
        <w:spacing w:before="7"/>
        <w:rPr>
          <w:sz w:val="19"/>
        </w:rPr>
      </w:pPr>
    </w:p>
    <w:p w:rsidR="00624E8F" w:rsidRDefault="0053691D">
      <w:pPr>
        <w:pStyle w:val="BodyText"/>
        <w:spacing w:before="1" w:line="240" w:lineRule="exact"/>
        <w:ind w:left="160" w:right="151"/>
        <w:jc w:val="both"/>
      </w:pPr>
      <w:r>
        <w:rPr>
          <w:u w:val="single"/>
        </w:rPr>
        <w:t>Contended PEB Conditions: Right Leg Weakness and Coordination Difficulty, Depression/Adjustment, Intermittent Low Back Pain and Detrusor Hyperreflexia</w:t>
      </w:r>
      <w:r>
        <w:t>. The panel’s main charge is to assess the fairness of the PEB determination that the contended conditions were not unfitting. With the exception of right leg weakness, none of the conditions were profiled or implicated in the commander’s statement, and did not fail retention standards. There was no performance-based evidence from the record that any of the conditions significantly interfered with satisfactory duty performance at separation. After due deliberation, the panel concluded there was insufficient cause to recommend a change in the PEB fitness determination for any of the contended conditions, so no additional disability ratings are recommended.</w:t>
      </w:r>
    </w:p>
    <w:p w:rsidR="00624E8F" w:rsidRDefault="0053691D">
      <w:pPr>
        <w:pStyle w:val="BodyText"/>
        <w:spacing w:before="3"/>
        <w:rPr>
          <w:sz w:val="13"/>
        </w:rPr>
      </w:pPr>
      <w:r>
        <w:rPr>
          <w:noProof/>
        </w:rPr>
        <mc:AlternateContent>
          <mc:Choice Requires="wps">
            <w:drawing>
              <wp:anchor distT="0" distB="0" distL="0" distR="0" simplePos="0" relativeHeight="251659776" behindDoc="0" locked="0" layoutInCell="1" allowOverlap="1">
                <wp:simplePos x="0" y="0"/>
                <wp:positionH relativeFrom="page">
                  <wp:posOffset>895985</wp:posOffset>
                </wp:positionH>
                <wp:positionV relativeFrom="paragraph">
                  <wp:posOffset>137160</wp:posOffset>
                </wp:positionV>
                <wp:extent cx="5980430" cy="0"/>
                <wp:effectExtent l="10160" t="11430" r="10160" b="17145"/>
                <wp:wrapTopAndBottom/>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38E9" id="Line 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0.8pt" to="541.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" strokeweight="1.44pt">
                <w10:wrap type="topAndBottom" anchorx="page"/>
              </v:line>
            </w:pict>
          </mc:Fallback>
        </mc:AlternateContent>
      </w:r>
    </w:p>
    <w:p w:rsidR="00624E8F" w:rsidRDefault="00624E8F">
      <w:pPr>
        <w:pStyle w:val="BodyText"/>
        <w:rPr>
          <w:sz w:val="10"/>
        </w:rPr>
      </w:pPr>
    </w:p>
    <w:p w:rsidR="00624E8F" w:rsidRDefault="0053691D">
      <w:pPr>
        <w:pStyle w:val="BodyText"/>
        <w:spacing w:before="89" w:line="240" w:lineRule="exact"/>
        <w:ind w:left="159" w:right="153"/>
        <w:jc w:val="both"/>
      </w:pPr>
      <w:r>
        <w:rPr>
          <w:u w:val="single"/>
        </w:rPr>
        <w:t>BOARD</w:t>
      </w:r>
      <w:r>
        <w:rPr>
          <w:spacing w:val="-8"/>
          <w:u w:val="single"/>
        </w:rPr>
        <w:t xml:space="preserve"> </w:t>
      </w:r>
      <w:r>
        <w:rPr>
          <w:u w:val="single"/>
        </w:rPr>
        <w:t>FINDINGS</w:t>
      </w:r>
      <w:r>
        <w:t>:</w:t>
      </w:r>
      <w:r>
        <w:rPr>
          <w:spacing w:val="39"/>
        </w:rPr>
        <w:t xml:space="preserve"> </w:t>
      </w:r>
      <w:r>
        <w:t>In</w:t>
      </w:r>
      <w:r>
        <w:rPr>
          <w:spacing w:val="-10"/>
        </w:rPr>
        <w:t xml:space="preserve"> </w:t>
      </w:r>
      <w:r>
        <w:t>the</w:t>
      </w:r>
      <w:r>
        <w:rPr>
          <w:spacing w:val="-11"/>
        </w:rPr>
        <w:t xml:space="preserve"> </w:t>
      </w:r>
      <w:r>
        <w:t>matter</w:t>
      </w:r>
      <w:r>
        <w:rPr>
          <w:spacing w:val="-8"/>
        </w:rPr>
        <w:t xml:space="preserve"> </w:t>
      </w:r>
      <w:r>
        <w:t>of</w:t>
      </w:r>
      <w:r>
        <w:rPr>
          <w:spacing w:val="-10"/>
        </w:rPr>
        <w:t xml:space="preserve"> </w:t>
      </w:r>
      <w:r>
        <w:t>the</w:t>
      </w:r>
      <w:r>
        <w:rPr>
          <w:spacing w:val="-8"/>
        </w:rPr>
        <w:t xml:space="preserve"> </w:t>
      </w:r>
      <w:r>
        <w:t>traumatic</w:t>
      </w:r>
      <w:r>
        <w:rPr>
          <w:spacing w:val="-9"/>
        </w:rPr>
        <w:t xml:space="preserve"> </w:t>
      </w:r>
      <w:r>
        <w:t>brain</w:t>
      </w:r>
      <w:r>
        <w:rPr>
          <w:spacing w:val="-8"/>
        </w:rPr>
        <w:t xml:space="preserve"> </w:t>
      </w:r>
      <w:r>
        <w:t>injury</w:t>
      </w:r>
      <w:r>
        <w:rPr>
          <w:spacing w:val="-9"/>
        </w:rPr>
        <w:t xml:space="preserve"> </w:t>
      </w:r>
      <w:r>
        <w:t>and</w:t>
      </w:r>
      <w:r>
        <w:rPr>
          <w:spacing w:val="-8"/>
        </w:rPr>
        <w:t xml:space="preserve"> </w:t>
      </w:r>
      <w:r>
        <w:t>IAW</w:t>
      </w:r>
      <w:r>
        <w:rPr>
          <w:spacing w:val="-9"/>
        </w:rPr>
        <w:t xml:space="preserve"> </w:t>
      </w:r>
      <w:r>
        <w:t>VASRD</w:t>
      </w:r>
      <w:r>
        <w:rPr>
          <w:spacing w:val="-8"/>
        </w:rPr>
        <w:t xml:space="preserve"> </w:t>
      </w:r>
      <w:r>
        <w:t>§4.124a,</w:t>
      </w:r>
      <w:r>
        <w:rPr>
          <w:spacing w:val="-9"/>
        </w:rPr>
        <w:t xml:space="preserve"> </w:t>
      </w:r>
      <w:r>
        <w:t>the</w:t>
      </w:r>
      <w:r>
        <w:rPr>
          <w:spacing w:val="-8"/>
        </w:rPr>
        <w:t xml:space="preserve"> </w:t>
      </w:r>
      <w:r>
        <w:t xml:space="preserve">panel recommends no change in the PEB adjudication. In the matter of the contended right leg weakness and coordination difficulty, depression/adjustment, intermittent low back pain </w:t>
      </w:r>
      <w:r>
        <w:rPr>
          <w:spacing w:val="-3"/>
        </w:rPr>
        <w:t xml:space="preserve">and </w:t>
      </w:r>
      <w:r>
        <w:t>detrusor hyperreflexia, the panel recommends no change from the PEB determinations as not unfitting. There are no other conditions within the panel’s scope of review for consideration. Therefore,</w:t>
      </w:r>
      <w:r>
        <w:rPr>
          <w:spacing w:val="-16"/>
        </w:rPr>
        <w:t xml:space="preserve"> </w:t>
      </w:r>
      <w:r>
        <w:t>the</w:t>
      </w:r>
      <w:r>
        <w:rPr>
          <w:spacing w:val="-13"/>
        </w:rPr>
        <w:t xml:space="preserve"> </w:t>
      </w:r>
      <w:r>
        <w:t>panel</w:t>
      </w:r>
      <w:r>
        <w:rPr>
          <w:spacing w:val="-13"/>
        </w:rPr>
        <w:t xml:space="preserve"> </w:t>
      </w:r>
      <w:r>
        <w:t>recommends</w:t>
      </w:r>
      <w:r>
        <w:rPr>
          <w:spacing w:val="-14"/>
        </w:rPr>
        <w:t xml:space="preserve"> </w:t>
      </w:r>
      <w:r>
        <w:t>no</w:t>
      </w:r>
      <w:r>
        <w:rPr>
          <w:spacing w:val="-13"/>
        </w:rPr>
        <w:t xml:space="preserve"> </w:t>
      </w:r>
      <w:r>
        <w:t>modification</w:t>
      </w:r>
      <w:r>
        <w:rPr>
          <w:spacing w:val="-10"/>
        </w:rPr>
        <w:t xml:space="preserve"> </w:t>
      </w:r>
      <w:r>
        <w:t>or</w:t>
      </w:r>
      <w:r>
        <w:rPr>
          <w:spacing w:val="-11"/>
        </w:rPr>
        <w:t xml:space="preserve"> </w:t>
      </w:r>
      <w:r>
        <w:t>re-characterization</w:t>
      </w:r>
      <w:r>
        <w:rPr>
          <w:spacing w:val="-12"/>
        </w:rPr>
        <w:t xml:space="preserve"> </w:t>
      </w:r>
      <w:r>
        <w:t>of</w:t>
      </w:r>
      <w:r>
        <w:rPr>
          <w:spacing w:val="-12"/>
        </w:rPr>
        <w:t xml:space="preserve"> </w:t>
      </w:r>
      <w:r>
        <w:t>the</w:t>
      </w:r>
      <w:r>
        <w:rPr>
          <w:spacing w:val="-13"/>
        </w:rPr>
        <w:t xml:space="preserve"> </w:t>
      </w:r>
      <w:r>
        <w:t>CI’s</w:t>
      </w:r>
      <w:r>
        <w:rPr>
          <w:spacing w:val="-14"/>
        </w:rPr>
        <w:t xml:space="preserve"> </w:t>
      </w:r>
      <w:r>
        <w:t>disability</w:t>
      </w:r>
      <w:r>
        <w:rPr>
          <w:spacing w:val="-12"/>
        </w:rPr>
        <w:t xml:space="preserve"> </w:t>
      </w:r>
      <w:r>
        <w:t>and separation</w:t>
      </w:r>
      <w:r>
        <w:rPr>
          <w:spacing w:val="-8"/>
        </w:rPr>
        <w:t xml:space="preserve"> </w:t>
      </w:r>
      <w:r>
        <w:t>determination.</w:t>
      </w:r>
    </w:p>
    <w:p w:rsidR="00624E8F" w:rsidRDefault="00624E8F">
      <w:pPr>
        <w:spacing w:line="240" w:lineRule="exact"/>
        <w:jc w:val="both"/>
        <w:sectPr w:rsidR="00624E8F">
          <w:footerReference w:type="default" r:id="rId12"/>
          <w:pgSz w:w="12240" w:h="15840"/>
          <w:pgMar w:top="1380" w:right="1280" w:bottom="940" w:left="1280" w:header="0" w:footer="748" w:gutter="0"/>
          <w:pgNumType w:start="2"/>
          <w:cols w:space="720"/>
        </w:sectPr>
      </w:pPr>
    </w:p>
    <w:p w:rsidR="00E038BC" w:rsidRDefault="00E038BC">
      <w:pPr>
        <w:rPr>
          <w:rFonts w:ascii="Segoe UI"/>
          <w:sz w:val="18"/>
        </w:rPr>
      </w:pPr>
      <w:bookmarkStart w:id="0" w:name="_GoBack"/>
      <w:bookmarkEnd w:id="0"/>
    </w:p>
    <w:p w:rsidR="00E038BC" w:rsidRDefault="00E038BC">
      <w:pPr>
        <w:rPr>
          <w:rFonts w:ascii="Segoe UI"/>
          <w:sz w:val="18"/>
        </w:rPr>
      </w:pPr>
    </w:p>
    <w:p w:rsidR="00E038BC" w:rsidRDefault="00E038BC">
      <w:pPr>
        <w:rPr>
          <w:rFonts w:ascii="Segoe UI"/>
          <w:sz w:val="18"/>
        </w:rPr>
      </w:pPr>
    </w:p>
    <w:p w:rsidR="00E038BC" w:rsidRDefault="00E038BC">
      <w:pPr>
        <w:rPr>
          <w:rFonts w:ascii="Segoe UI"/>
          <w:sz w:val="18"/>
        </w:rPr>
      </w:pPr>
    </w:p>
    <w:p w:rsidR="00E038BC" w:rsidRDefault="00E038BC">
      <w:pPr>
        <w:rPr>
          <w:rFonts w:ascii="Segoe UI"/>
          <w:sz w:val="18"/>
        </w:rPr>
      </w:pPr>
    </w:p>
    <w:p w:rsidR="00E038BC" w:rsidRDefault="00E038BC">
      <w:pPr>
        <w:rPr>
          <w:rFonts w:ascii="Segoe UI"/>
          <w:sz w:val="18"/>
        </w:rPr>
      </w:pPr>
    </w:p>
    <w:p w:rsidR="00E038BC" w:rsidRDefault="00E038BC">
      <w:pPr>
        <w:rPr>
          <w:rFonts w:ascii="Segoe UI"/>
          <w:sz w:val="18"/>
        </w:rPr>
      </w:pPr>
    </w:p>
    <w:p w:rsidR="00E038BC" w:rsidRDefault="00222B5A" w:rsidP="00E038BC">
      <w:pPr>
        <w:rPr>
          <w:rFonts w:ascii="Arial" w:eastAsia="Times New Roman" w:hAnsi="Arial" w:cs="Arial"/>
        </w:rPr>
      </w:pPr>
      <w:sdt>
        <w:sdtPr>
          <w:alias w:val="AR Number"/>
          <w:tag w:val="ARNumber"/>
          <w:id w:val="1124507551"/>
          <w:placeholder>
            <w:docPart w:val="42E1D5F33138417C957DD261C9FBCDC3"/>
          </w:placeholder>
          <w:dataBinding w:prefixMappings="xmlns:ns0='http://schemas.microsoft.com/office/2006/metadata/properties' xmlns:ns1='http://www.w3.org/2001/XMLSchema-instance' xmlns:ns2='http://schemas.microsoft.com/office/infopath/2007/PartnerControls' xmlns:ns3='5465596e-baf2-446b-bcc7-03f65b27e2de' xmlns:ns4='9f515e54-8d23-4d58-b4c5-d494429ace15' xmlns:ns5='http://schemas.microsoft.com/sharepoint/v3' " w:xpath="/ns0:properties[1]/documentManagement[1]/ns3:ARNumber[1]" w:storeItemID="{1003BBF3-9F0E-4B95-8E16-3DBA1DB9C2DE}"/>
          <w:text/>
        </w:sdtPr>
        <w:sdtEndPr/>
        <w:sdtContent>
          <w:r w:rsidR="00E038BC">
            <w:t>AR</w:t>
          </w:r>
          <w:r w:rsidR="0033224D">
            <w:t>XXXXXXXXXXX</w:t>
          </w:r>
        </w:sdtContent>
      </w:sdt>
      <w:r w:rsidR="00E038BC">
        <w:t>, XXXXXXXXXXXXXXXXXXXXXX</w:t>
      </w:r>
    </w:p>
    <w:p w:rsidR="00E038BC" w:rsidRDefault="00E038BC" w:rsidP="00E038BC"/>
    <w:p w:rsidR="00E038BC" w:rsidRDefault="00E038BC" w:rsidP="00E038BC"/>
    <w:p w:rsidR="00E038BC" w:rsidRDefault="00E038BC" w:rsidP="00E038BC">
      <w:pPr>
        <w:jc w:val="both"/>
      </w:pPr>
    </w:p>
    <w:p w:rsidR="00E038BC" w:rsidRDefault="00E038BC" w:rsidP="00E038BC">
      <w:pPr>
        <w:tabs>
          <w:tab w:val="left" w:pos="576"/>
        </w:tabs>
        <w:spacing w:line="240" w:lineRule="exact"/>
      </w:pPr>
    </w:p>
    <w:p w:rsidR="00E038BC" w:rsidRDefault="00E038BC" w:rsidP="00E038BC">
      <w:pPr>
        <w:jc w:val="both"/>
        <w:rPr>
          <w:rFonts w:ascii="Times New Roman" w:hAnsi="Times New Roman" w:cs="Times New Roman"/>
        </w:rPr>
      </w:pPr>
      <w:r>
        <w:t>Dear XXXXXXXXXXXXXXXXXXXXX</w:t>
      </w:r>
    </w:p>
    <w:p w:rsidR="00E038BC" w:rsidRDefault="00E038BC" w:rsidP="00E038BC">
      <w:pPr>
        <w:tabs>
          <w:tab w:val="left" w:pos="576"/>
        </w:tabs>
        <w:spacing w:line="240" w:lineRule="exact"/>
        <w:rPr>
          <w:rFonts w:ascii="Arial" w:hAnsi="Arial" w:cs="Arial"/>
          <w:sz w:val="24"/>
          <w:szCs w:val="24"/>
        </w:rPr>
      </w:pPr>
    </w:p>
    <w:p w:rsidR="00E038BC" w:rsidRDefault="00E038BC" w:rsidP="00E038BC">
      <w:pPr>
        <w:tabs>
          <w:tab w:val="left" w:pos="576"/>
        </w:tabs>
        <w:spacing w:line="240" w:lineRule="exact"/>
      </w:pPr>
    </w:p>
    <w:p w:rsidR="00E038BC" w:rsidRDefault="00E038BC" w:rsidP="00E038BC">
      <w:r>
        <w:tab/>
        <w:t xml:space="preserve">The Department of Defense Physical Disability Board of Review (DoD PDBR) reviewed your application and found your separation disability rating and your separation from the Army for disability with severance pay to be accurate.  I have reviewed the Board’s recommendation and record of proceedings (copy enclosed), and I accept its recommendation.  I regret to inform you that your application to the DoD PDBR is denied.  </w:t>
      </w:r>
    </w:p>
    <w:p w:rsidR="00E038BC" w:rsidRDefault="00E038BC" w:rsidP="00E038BC">
      <w:pPr>
        <w:pStyle w:val="BodyText3"/>
        <w:spacing w:after="0"/>
        <w:rPr>
          <w:sz w:val="24"/>
          <w:szCs w:val="24"/>
        </w:rPr>
      </w:pPr>
    </w:p>
    <w:p w:rsidR="00E038BC" w:rsidRDefault="00E038BC" w:rsidP="00E038BC">
      <w:pPr>
        <w:pStyle w:val="BodyText3"/>
        <w:spacing w:after="0"/>
        <w:rPr>
          <w:sz w:val="24"/>
          <w:szCs w:val="24"/>
        </w:rPr>
      </w:pPr>
      <w:r>
        <w:rPr>
          <w:sz w:val="24"/>
          <w:szCs w:val="24"/>
        </w:rPr>
        <w:tab/>
        <w:t xml:space="preserve">This decision is final.  Recourse within the Department of Defense or the Department of the Army is exhausted; however, you have the option to seek relief by filing suit in </w:t>
      </w:r>
      <w:bookmarkStart w:id="1" w:name="OLE_LINK78"/>
      <w:bookmarkStart w:id="2" w:name="OLE_LINK77"/>
      <w:r>
        <w:rPr>
          <w:sz w:val="24"/>
          <w:szCs w:val="24"/>
        </w:rPr>
        <w:t>a court of appropriate jurisdiction.</w:t>
      </w:r>
      <w:bookmarkEnd w:id="1"/>
      <w:bookmarkEnd w:id="2"/>
    </w:p>
    <w:p w:rsidR="00624E8F" w:rsidRDefault="00624E8F">
      <w:pPr>
        <w:spacing w:before="29" w:line="271" w:lineRule="auto"/>
        <w:ind w:left="5335"/>
        <w:rPr>
          <w:rFonts w:ascii="Segoe UI"/>
          <w:sz w:val="18"/>
        </w:rPr>
      </w:pPr>
    </w:p>
    <w:sectPr w:rsidR="00624E8F">
      <w:pgSz w:w="12240" w:h="15840"/>
      <w:pgMar w:top="1380" w:right="1300" w:bottom="940" w:left="13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5A" w:rsidRDefault="00222B5A">
      <w:r>
        <w:separator/>
      </w:r>
    </w:p>
  </w:endnote>
  <w:endnote w:type="continuationSeparator" w:id="0">
    <w:p w:rsidR="00222B5A" w:rsidRDefault="0022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BC" w:rsidRDefault="00E03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BC" w:rsidRDefault="00E03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BC" w:rsidRDefault="00E038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E8F" w:rsidRDefault="00624E8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5A" w:rsidRDefault="00222B5A">
      <w:r>
        <w:separator/>
      </w:r>
    </w:p>
  </w:footnote>
  <w:footnote w:type="continuationSeparator" w:id="0">
    <w:p w:rsidR="00222B5A" w:rsidRDefault="0022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BC" w:rsidRDefault="00E03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BC" w:rsidRDefault="00E03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BC" w:rsidRDefault="00E03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removePersonalInformation/>
  <w:removeDateAndTime/>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8F"/>
    <w:rsid w:val="0012513C"/>
    <w:rsid w:val="00222B5A"/>
    <w:rsid w:val="0033224D"/>
    <w:rsid w:val="003A2DD8"/>
    <w:rsid w:val="003E33CE"/>
    <w:rsid w:val="0053691D"/>
    <w:rsid w:val="00624E8F"/>
    <w:rsid w:val="00743C13"/>
    <w:rsid w:val="007A60D1"/>
    <w:rsid w:val="008E5A43"/>
    <w:rsid w:val="00E0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5"/>
      <w:jc w:val="center"/>
    </w:pPr>
  </w:style>
  <w:style w:type="paragraph" w:styleId="BodyText3">
    <w:name w:val="Body Text 3"/>
    <w:basedOn w:val="Normal"/>
    <w:link w:val="BodyText3Char"/>
    <w:uiPriority w:val="99"/>
    <w:semiHidden/>
    <w:unhideWhenUsed/>
    <w:rsid w:val="00E038BC"/>
    <w:pPr>
      <w:widowControl/>
      <w:autoSpaceDE/>
      <w:autoSpaceDN/>
      <w:spacing w:after="120"/>
    </w:pPr>
    <w:rPr>
      <w:rFonts w:ascii="Arial" w:eastAsia="Times New Roman" w:hAnsi="Arial" w:cs="Arial"/>
      <w:sz w:val="16"/>
      <w:szCs w:val="16"/>
    </w:rPr>
  </w:style>
  <w:style w:type="character" w:customStyle="1" w:styleId="BodyText3Char">
    <w:name w:val="Body Text 3 Char"/>
    <w:basedOn w:val="DefaultParagraphFont"/>
    <w:link w:val="BodyText3"/>
    <w:uiPriority w:val="99"/>
    <w:semiHidden/>
    <w:rsid w:val="00E038BC"/>
    <w:rPr>
      <w:rFonts w:ascii="Arial" w:eastAsia="Times New Roman" w:hAnsi="Arial" w:cs="Arial"/>
      <w:sz w:val="16"/>
      <w:szCs w:val="16"/>
    </w:rPr>
  </w:style>
  <w:style w:type="paragraph" w:styleId="Header">
    <w:name w:val="header"/>
    <w:basedOn w:val="Normal"/>
    <w:link w:val="HeaderChar"/>
    <w:uiPriority w:val="99"/>
    <w:unhideWhenUsed/>
    <w:rsid w:val="00E038BC"/>
    <w:pPr>
      <w:tabs>
        <w:tab w:val="center" w:pos="4680"/>
        <w:tab w:val="right" w:pos="9360"/>
      </w:tabs>
    </w:pPr>
  </w:style>
  <w:style w:type="character" w:customStyle="1" w:styleId="HeaderChar">
    <w:name w:val="Header Char"/>
    <w:basedOn w:val="DefaultParagraphFont"/>
    <w:link w:val="Header"/>
    <w:uiPriority w:val="99"/>
    <w:rsid w:val="00E038BC"/>
    <w:rPr>
      <w:rFonts w:ascii="Calibri" w:eastAsia="Calibri" w:hAnsi="Calibri" w:cs="Calibri"/>
    </w:rPr>
  </w:style>
  <w:style w:type="paragraph" w:styleId="Footer">
    <w:name w:val="footer"/>
    <w:basedOn w:val="Normal"/>
    <w:link w:val="FooterChar"/>
    <w:uiPriority w:val="99"/>
    <w:unhideWhenUsed/>
    <w:rsid w:val="00E038BC"/>
    <w:pPr>
      <w:tabs>
        <w:tab w:val="center" w:pos="4680"/>
        <w:tab w:val="right" w:pos="9360"/>
      </w:tabs>
    </w:pPr>
  </w:style>
  <w:style w:type="character" w:customStyle="1" w:styleId="FooterChar">
    <w:name w:val="Footer Char"/>
    <w:basedOn w:val="DefaultParagraphFont"/>
    <w:link w:val="Footer"/>
    <w:uiPriority w:val="99"/>
    <w:rsid w:val="00E038B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677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E1D5F33138417C957DD261C9FBCDC3"/>
        <w:category>
          <w:name w:val="General"/>
          <w:gallery w:val="placeholder"/>
        </w:category>
        <w:types>
          <w:type w:val="bbPlcHdr"/>
        </w:types>
        <w:behaviors>
          <w:behavior w:val="content"/>
        </w:behaviors>
        <w:guid w:val="{A0BA2F6D-7993-4979-B5DF-ED4CEDFC8FFC}"/>
      </w:docPartPr>
      <w:docPartBody>
        <w:p w:rsidR="00A96F47" w:rsidRDefault="005C282C" w:rsidP="005C282C">
          <w:pPr>
            <w:pStyle w:val="42E1D5F33138417C957DD261C9FBCDC3"/>
          </w:pPr>
          <w:r>
            <w:rPr>
              <w:rStyle w:val="PlaceholderText"/>
            </w:rPr>
            <w:t>[AR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2C"/>
    <w:rsid w:val="0036251C"/>
    <w:rsid w:val="005C282C"/>
    <w:rsid w:val="009317F0"/>
    <w:rsid w:val="00A9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82C"/>
  </w:style>
  <w:style w:type="paragraph" w:customStyle="1" w:styleId="42E1D5F33138417C957DD261C9FBCDC3">
    <w:name w:val="42E1D5F33138417C957DD261C9FBCDC3"/>
    <w:rsid w:val="005C2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2020-05-08T14:28:00Z</dcterms:created>
  <dcterms:modified xsi:type="dcterms:W3CDTF">2020-08-21T13:55:00Z</dcterms:modified>
</cp:coreProperties>
</file>